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F7BFE" w:rsidRPr="002F7BFE" w:rsidRDefault="002F7BFE" w:rsidP="002F7BFE">
      <w:pPr>
        <w:pStyle w:val="Heading2"/>
        <w:jc w:val="left"/>
        <w:rPr>
          <w:rFonts w:ascii="Cambria" w:hAnsi="Cambria" w:cs="Times New Roman"/>
          <w:iCs w:val="0"/>
          <w:color w:val="00477F"/>
          <w:szCs w:val="26"/>
          <w:lang w:eastAsia="en-US"/>
        </w:rPr>
      </w:pPr>
      <w:bookmarkStart w:id="0" w:name="_GoBack"/>
      <w:bookmarkEnd w:id="0"/>
      <w:r w:rsidRPr="002F7BFE">
        <w:rPr>
          <w:rFonts w:ascii="Cambria" w:hAnsi="Cambria" w:cs="Times New Roman"/>
          <w:iCs w:val="0"/>
          <w:color w:val="00477F"/>
          <w:szCs w:val="26"/>
          <w:lang w:eastAsia="en-US"/>
        </w:rPr>
        <w:t xml:space="preserve">Energy Eﬃciency Partnership for Homes </w:t>
      </w:r>
    </w:p>
    <w:p w:rsidR="002F7BFE" w:rsidRPr="002F7BFE" w:rsidRDefault="002F7BFE" w:rsidP="002F7BFE">
      <w:pPr>
        <w:keepNext/>
        <w:keepLines/>
        <w:spacing w:before="100" w:beforeAutospacing="1" w:after="240" w:line="276" w:lineRule="auto"/>
        <w:outlineLvl w:val="0"/>
        <w:rPr>
          <w:rFonts w:ascii="Cambria" w:hAnsi="Cambria"/>
          <w:b/>
          <w:bCs/>
          <w:color w:val="00477F"/>
          <w:spacing w:val="16"/>
          <w:sz w:val="40"/>
          <w:szCs w:val="28"/>
          <w:lang w:eastAsia="en-US"/>
        </w:rPr>
      </w:pPr>
      <w:r w:rsidRPr="002F7BFE">
        <w:rPr>
          <w:rFonts w:ascii="Cambria" w:hAnsi="Cambria"/>
          <w:b/>
          <w:bCs/>
          <w:color w:val="00477F"/>
          <w:spacing w:val="16"/>
          <w:sz w:val="40"/>
          <w:szCs w:val="28"/>
          <w:lang w:eastAsia="en-US"/>
        </w:rPr>
        <w:t>Microgeneration Government-Industry Contact Group</w:t>
      </w:r>
    </w:p>
    <w:p w:rsidR="002F7BFE" w:rsidRPr="002F7BFE" w:rsidRDefault="002F7BFE" w:rsidP="002F7BFE">
      <w:pPr>
        <w:keepNext/>
        <w:keepLines/>
        <w:spacing w:before="100" w:beforeAutospacing="1" w:after="240" w:line="276" w:lineRule="auto"/>
        <w:outlineLvl w:val="1"/>
        <w:rPr>
          <w:rFonts w:ascii="Cambria" w:hAnsi="Cambria"/>
          <w:b/>
          <w:bCs/>
          <w:color w:val="00477F"/>
          <w:sz w:val="28"/>
          <w:szCs w:val="26"/>
          <w:lang w:eastAsia="en-US"/>
        </w:rPr>
      </w:pPr>
      <w:r w:rsidRPr="002F7BFE">
        <w:rPr>
          <w:rFonts w:ascii="Cambria" w:hAnsi="Cambria"/>
          <w:b/>
          <w:bCs/>
          <w:color w:val="00477F"/>
          <w:sz w:val="28"/>
          <w:szCs w:val="26"/>
          <w:lang w:eastAsia="en-US"/>
        </w:rPr>
        <w:t>Summary Notes from meeting 24 November 2011</w:t>
      </w:r>
      <w:r w:rsidR="001B187B">
        <w:rPr>
          <w:rFonts w:ascii="Cambria" w:hAnsi="Cambria"/>
          <w:b/>
          <w:bCs/>
          <w:color w:val="00477F"/>
          <w:sz w:val="28"/>
          <w:szCs w:val="26"/>
          <w:lang w:eastAsia="en-US"/>
        </w:rPr>
        <w:t xml:space="preserve"> (final)</w:t>
      </w:r>
    </w:p>
    <w:p w:rsidR="002F7BFE" w:rsidRPr="002F7BFE" w:rsidRDefault="002F7BFE" w:rsidP="002F7BFE">
      <w:pPr>
        <w:keepNext/>
        <w:keepLines/>
        <w:spacing w:before="100" w:beforeAutospacing="1" w:after="240" w:line="276" w:lineRule="auto"/>
        <w:outlineLvl w:val="1"/>
        <w:rPr>
          <w:rFonts w:ascii="Cambria" w:hAnsi="Cambria"/>
          <w:b/>
          <w:bCs/>
          <w:color w:val="00477F"/>
          <w:sz w:val="28"/>
          <w:szCs w:val="26"/>
          <w:lang w:eastAsia="en-US"/>
        </w:rPr>
      </w:pPr>
      <w:r w:rsidRPr="002F7BFE">
        <w:rPr>
          <w:rFonts w:ascii="Cambria" w:hAnsi="Cambria"/>
          <w:b/>
          <w:bCs/>
          <w:color w:val="00477F"/>
          <w:sz w:val="28"/>
          <w:szCs w:val="26"/>
          <w:lang w:eastAsia="en-US"/>
        </w:rPr>
        <w:t>Attendance</w:t>
      </w:r>
    </w:p>
    <w:tbl>
      <w:tblPr>
        <w:tblW w:w="9895" w:type="dxa"/>
        <w:tblInd w:w="108" w:type="dxa"/>
        <w:tblLook w:val="04A0" w:firstRow="1" w:lastRow="0" w:firstColumn="1" w:lastColumn="0" w:noHBand="0" w:noVBand="1"/>
      </w:tblPr>
      <w:tblGrid>
        <w:gridCol w:w="515"/>
        <w:gridCol w:w="2919"/>
        <w:gridCol w:w="1316"/>
        <w:gridCol w:w="1296"/>
        <w:gridCol w:w="866"/>
        <w:gridCol w:w="2983"/>
      </w:tblGrid>
      <w:tr w:rsidR="002F7BFE" w:rsidRPr="002F7BFE" w:rsidTr="00415CDF">
        <w:trPr>
          <w:trHeight w:val="36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b/>
                <w:bCs/>
                <w:szCs w:val="22"/>
              </w:rPr>
            </w:pP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000000" w:fill="BFBFCC" w:themeFill="background1" w:themeFillShade="E6"/>
            <w:noWrap/>
            <w:vAlign w:val="center"/>
            <w:hideMark/>
          </w:tcPr>
          <w:p w:rsidR="002F7BFE" w:rsidRPr="002F7BFE" w:rsidRDefault="002F7BFE" w:rsidP="002F7BFE">
            <w:pPr>
              <w:rPr>
                <w:rFonts w:asciiTheme="minorHAnsi" w:hAnsiTheme="minorHAnsi" w:cstheme="minorHAnsi"/>
                <w:b/>
                <w:bCs/>
                <w:szCs w:val="22"/>
              </w:rPr>
            </w:pPr>
            <w:r w:rsidRPr="002F7BFE">
              <w:rPr>
                <w:rFonts w:asciiTheme="minorHAnsi" w:hAnsiTheme="minorHAnsi" w:cstheme="minorHAnsi"/>
                <w:b/>
                <w:bCs/>
                <w:szCs w:val="22"/>
              </w:rPr>
              <w:t>Organisation</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000000" w:fill="BFBFCC" w:themeFill="background1" w:themeFillShade="E6"/>
            <w:noWrap/>
            <w:vAlign w:val="center"/>
            <w:hideMark/>
          </w:tcPr>
          <w:p w:rsidR="002F7BFE" w:rsidRPr="002F7BFE" w:rsidRDefault="002F7BFE" w:rsidP="002F7BFE">
            <w:pPr>
              <w:rPr>
                <w:rFonts w:asciiTheme="minorHAnsi" w:hAnsiTheme="minorHAnsi" w:cstheme="minorHAnsi"/>
                <w:b/>
                <w:bCs/>
                <w:szCs w:val="22"/>
              </w:rPr>
            </w:pPr>
            <w:r w:rsidRPr="002F7BFE">
              <w:rPr>
                <w:rFonts w:asciiTheme="minorHAnsi" w:hAnsiTheme="minorHAnsi" w:cstheme="minorHAnsi"/>
                <w:b/>
                <w:bCs/>
                <w:szCs w:val="22"/>
              </w:rPr>
              <w:t>First Name</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000000" w:fill="BFBFCC" w:themeFill="background1" w:themeFillShade="E6"/>
            <w:noWrap/>
            <w:vAlign w:val="center"/>
            <w:hideMark/>
          </w:tcPr>
          <w:p w:rsidR="002F7BFE" w:rsidRPr="002F7BFE" w:rsidRDefault="002F7BFE" w:rsidP="002F7BFE">
            <w:pPr>
              <w:rPr>
                <w:rFonts w:asciiTheme="minorHAnsi" w:hAnsiTheme="minorHAnsi" w:cstheme="minorHAnsi"/>
                <w:b/>
                <w:bCs/>
                <w:szCs w:val="22"/>
              </w:rPr>
            </w:pPr>
            <w:r w:rsidRPr="002F7BFE">
              <w:rPr>
                <w:rFonts w:asciiTheme="minorHAnsi" w:hAnsiTheme="minorHAnsi" w:cstheme="minorHAnsi"/>
                <w:b/>
                <w:bCs/>
                <w:szCs w:val="22"/>
              </w:rPr>
              <w:t>Surname</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bCs/>
                <w:szCs w:val="22"/>
              </w:rPr>
            </w:pP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bCs/>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1</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BEAMA</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Kelly</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 xml:space="preserve">Butler </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KB</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2</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CHPA</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Ian</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proofErr w:type="spellStart"/>
            <w:r w:rsidRPr="002F7BFE">
              <w:rPr>
                <w:rFonts w:asciiTheme="minorHAnsi" w:hAnsiTheme="minorHAnsi" w:cstheme="minorHAnsi"/>
                <w:szCs w:val="22"/>
              </w:rPr>
              <w:t>Manders</w:t>
            </w:r>
            <w:proofErr w:type="spellEnd"/>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IM</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3</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CIPHE</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Keith</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Westcott</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KW</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4</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Consumer Focus</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James</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Court</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JC</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r w:rsidRPr="002F7BFE">
              <w:rPr>
                <w:rFonts w:asciiTheme="minorHAnsi" w:hAnsiTheme="minorHAnsi" w:cstheme="minorHAnsi"/>
                <w:sz w:val="20"/>
                <w:szCs w:val="20"/>
              </w:rPr>
              <w:t xml:space="preserve">deputising for Liz </w:t>
            </w:r>
            <w:proofErr w:type="spellStart"/>
            <w:r w:rsidRPr="002F7BFE">
              <w:rPr>
                <w:rFonts w:asciiTheme="minorHAnsi" w:hAnsiTheme="minorHAnsi" w:cstheme="minorHAnsi"/>
                <w:sz w:val="20"/>
                <w:szCs w:val="20"/>
              </w:rPr>
              <w:t>Lainé</w:t>
            </w:r>
            <w:proofErr w:type="spellEnd"/>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5</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DECC</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Paul</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Rochester</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PR</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6</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DECC</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Hannah</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Lewis</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HL</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7</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DECC</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Adrian</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Butt</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AB</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8</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EEPH (chairing)</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Mark</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Brown</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MB</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9</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EEPH (notes)</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Mathias</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Hessler</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bCs/>
                <w:szCs w:val="22"/>
              </w:rPr>
            </w:pPr>
            <w:r w:rsidRPr="002F7BFE">
              <w:rPr>
                <w:rFonts w:asciiTheme="minorHAnsi" w:hAnsiTheme="minorHAnsi" w:cstheme="minorHAnsi"/>
                <w:bCs/>
                <w:szCs w:val="22"/>
              </w:rPr>
              <w:t>MH</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bCs/>
                <w:sz w:val="20"/>
                <w:szCs w:val="20"/>
              </w:rPr>
            </w:pPr>
            <w:r w:rsidRPr="002F7BFE">
              <w:rPr>
                <w:rFonts w:asciiTheme="minorHAnsi" w:hAnsiTheme="minorHAnsi" w:cstheme="minorHAnsi"/>
                <w:bCs/>
                <w:sz w:val="20"/>
                <w:szCs w:val="20"/>
              </w:rPr>
              <w:t> </w:t>
            </w: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10</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proofErr w:type="spellStart"/>
            <w:r w:rsidRPr="002F7BFE">
              <w:rPr>
                <w:rFonts w:asciiTheme="minorHAnsi" w:hAnsiTheme="minorHAnsi" w:cstheme="minorHAnsi"/>
                <w:szCs w:val="22"/>
              </w:rPr>
              <w:t>Gemserv</w:t>
            </w:r>
            <w:proofErr w:type="spellEnd"/>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Brendan</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proofErr w:type="spellStart"/>
            <w:r w:rsidRPr="002F7BFE">
              <w:rPr>
                <w:rFonts w:asciiTheme="minorHAnsi" w:hAnsiTheme="minorHAnsi" w:cstheme="minorHAnsi"/>
                <w:szCs w:val="22"/>
              </w:rPr>
              <w:t>McGarry</w:t>
            </w:r>
            <w:proofErr w:type="spellEnd"/>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proofErr w:type="spellStart"/>
            <w:r w:rsidRPr="002F7BFE">
              <w:rPr>
                <w:rFonts w:asciiTheme="minorHAnsi" w:hAnsiTheme="minorHAnsi" w:cstheme="minorHAnsi"/>
                <w:szCs w:val="22"/>
              </w:rPr>
              <w:t>BMcG</w:t>
            </w:r>
            <w:proofErr w:type="spellEnd"/>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11</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GSHPA</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 xml:space="preserve">David </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Matthews</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DM</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12</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HETAS</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Bruce</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Allen</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BA</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13</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HHIC</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Chris</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Yates</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CY</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14</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MCS</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 xml:space="preserve">Gideon </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 xml:space="preserve">Richards </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GR</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15</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proofErr w:type="spellStart"/>
            <w:r w:rsidRPr="002F7BFE">
              <w:rPr>
                <w:rFonts w:asciiTheme="minorHAnsi" w:hAnsiTheme="minorHAnsi" w:cstheme="minorHAnsi"/>
                <w:szCs w:val="22"/>
              </w:rPr>
              <w:t>Micropower</w:t>
            </w:r>
            <w:proofErr w:type="spellEnd"/>
            <w:r w:rsidRPr="002F7BFE">
              <w:rPr>
                <w:rFonts w:asciiTheme="minorHAnsi" w:hAnsiTheme="minorHAnsi" w:cstheme="minorHAnsi"/>
                <w:szCs w:val="22"/>
              </w:rPr>
              <w:t xml:space="preserve"> Council</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Grace</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Bennett</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GB</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r w:rsidRPr="002F7BFE">
              <w:rPr>
                <w:rFonts w:asciiTheme="minorHAnsi" w:hAnsiTheme="minorHAnsi" w:cstheme="minorHAnsi"/>
                <w:sz w:val="20"/>
                <w:szCs w:val="20"/>
              </w:rPr>
              <w:t xml:space="preserve">deputising for Dave </w:t>
            </w:r>
            <w:proofErr w:type="spellStart"/>
            <w:r w:rsidRPr="002F7BFE">
              <w:rPr>
                <w:rFonts w:asciiTheme="minorHAnsi" w:hAnsiTheme="minorHAnsi" w:cstheme="minorHAnsi"/>
                <w:sz w:val="20"/>
                <w:szCs w:val="20"/>
              </w:rPr>
              <w:t>Sowden</w:t>
            </w:r>
            <w:proofErr w:type="spellEnd"/>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16</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REAL</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Mark</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Cutler</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MC</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r w:rsidRPr="002F7BFE">
              <w:rPr>
                <w:rFonts w:asciiTheme="minorHAnsi" w:hAnsiTheme="minorHAnsi" w:cstheme="minorHAnsi"/>
                <w:sz w:val="20"/>
                <w:szCs w:val="20"/>
              </w:rPr>
              <w:t xml:space="preserve">deputising for Virginia Graham, </w:t>
            </w:r>
            <w:r w:rsidRPr="002F7BFE">
              <w:rPr>
                <w:rFonts w:asciiTheme="minorHAnsi" w:hAnsiTheme="minorHAnsi" w:cstheme="minorHAnsi"/>
                <w:sz w:val="20"/>
                <w:szCs w:val="20"/>
              </w:rPr>
              <w:br/>
              <w:t xml:space="preserve">and also for REA (Mike </w:t>
            </w:r>
            <w:proofErr w:type="spellStart"/>
            <w:r w:rsidRPr="002F7BFE">
              <w:rPr>
                <w:rFonts w:asciiTheme="minorHAnsi" w:hAnsiTheme="minorHAnsi" w:cstheme="minorHAnsi"/>
                <w:sz w:val="20"/>
                <w:szCs w:val="20"/>
              </w:rPr>
              <w:t>Landy</w:t>
            </w:r>
            <w:proofErr w:type="spellEnd"/>
            <w:r w:rsidRPr="002F7BFE">
              <w:rPr>
                <w:rFonts w:asciiTheme="minorHAnsi" w:hAnsiTheme="minorHAnsi" w:cstheme="minorHAnsi"/>
                <w:sz w:val="20"/>
                <w:szCs w:val="20"/>
              </w:rPr>
              <w:t>)</w:t>
            </w: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17</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Renewable UK</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proofErr w:type="spellStart"/>
            <w:r w:rsidRPr="002F7BFE">
              <w:rPr>
                <w:rFonts w:asciiTheme="minorHAnsi" w:hAnsiTheme="minorHAnsi" w:cstheme="minorHAnsi"/>
                <w:szCs w:val="22"/>
              </w:rPr>
              <w:t>Indre</w:t>
            </w:r>
            <w:proofErr w:type="spellEnd"/>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proofErr w:type="spellStart"/>
            <w:r w:rsidRPr="002F7BFE">
              <w:rPr>
                <w:rFonts w:asciiTheme="minorHAnsi" w:hAnsiTheme="minorHAnsi" w:cstheme="minorHAnsi"/>
                <w:szCs w:val="22"/>
              </w:rPr>
              <w:t>Vaizgelaite</w:t>
            </w:r>
            <w:proofErr w:type="spellEnd"/>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IV</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r w:rsidRPr="002F7BFE">
              <w:rPr>
                <w:rFonts w:asciiTheme="minorHAnsi" w:hAnsiTheme="minorHAnsi" w:cstheme="minorHAnsi"/>
                <w:sz w:val="20"/>
                <w:szCs w:val="20"/>
              </w:rPr>
              <w:t>only from 13:00</w:t>
            </w: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18</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Scottish Government</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Rebecca</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Carr</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RC</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r w:rsidRPr="002F7BFE">
              <w:rPr>
                <w:rFonts w:asciiTheme="minorHAnsi" w:hAnsiTheme="minorHAnsi" w:cstheme="minorHAnsi"/>
                <w:sz w:val="20"/>
                <w:szCs w:val="20"/>
              </w:rPr>
              <w:t>dialling in</w:t>
            </w: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19</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Solar Trade Association</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Terence</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Lewis</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TL</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r w:rsidRPr="002F7BFE">
              <w:rPr>
                <w:rFonts w:asciiTheme="minorHAnsi" w:hAnsiTheme="minorHAnsi" w:cstheme="minorHAnsi"/>
                <w:sz w:val="20"/>
                <w:szCs w:val="20"/>
              </w:rPr>
              <w:t>deputising for Howard Johns</w:t>
            </w: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20</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proofErr w:type="spellStart"/>
            <w:r w:rsidRPr="002F7BFE">
              <w:rPr>
                <w:rFonts w:asciiTheme="minorHAnsi" w:hAnsiTheme="minorHAnsi" w:cstheme="minorHAnsi"/>
                <w:szCs w:val="22"/>
              </w:rPr>
              <w:t>SummitSkills</w:t>
            </w:r>
            <w:proofErr w:type="spellEnd"/>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Nigel</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proofErr w:type="spellStart"/>
            <w:r w:rsidRPr="002F7BFE">
              <w:rPr>
                <w:rFonts w:asciiTheme="minorHAnsi" w:hAnsiTheme="minorHAnsi" w:cstheme="minorHAnsi"/>
                <w:szCs w:val="22"/>
              </w:rPr>
              <w:t>Hollett</w:t>
            </w:r>
            <w:proofErr w:type="spellEnd"/>
            <w:r w:rsidRPr="002F7BFE">
              <w:rPr>
                <w:rFonts w:asciiTheme="minorHAnsi" w:hAnsiTheme="minorHAnsi" w:cstheme="minorHAnsi"/>
                <w:szCs w:val="22"/>
              </w:rPr>
              <w:t xml:space="preserve"> </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NH</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420"/>
        </w:trPr>
        <w:tc>
          <w:tcPr>
            <w:tcW w:w="0" w:type="auto"/>
            <w:tcBorders>
              <w:top w:val="nil"/>
              <w:left w:val="nil"/>
              <w:bottom w:val="nil"/>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p>
        </w:tc>
        <w:tc>
          <w:tcPr>
            <w:tcW w:w="5531" w:type="dxa"/>
            <w:gridSpan w:val="3"/>
            <w:tcBorders>
              <w:top w:val="single" w:sz="2" w:space="0" w:color="61617A" w:themeColor="background1" w:themeShade="80"/>
              <w:left w:val="nil"/>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u w:val="single"/>
              </w:rPr>
            </w:pPr>
            <w:r w:rsidRPr="002F7BFE">
              <w:rPr>
                <w:rFonts w:asciiTheme="minorHAnsi" w:hAnsiTheme="minorHAnsi" w:cstheme="minorHAnsi"/>
                <w:szCs w:val="22"/>
                <w:u w:val="single"/>
              </w:rPr>
              <w:t>guest attendees</w:t>
            </w:r>
          </w:p>
        </w:tc>
        <w:tc>
          <w:tcPr>
            <w:tcW w:w="866" w:type="dxa"/>
            <w:tcBorders>
              <w:top w:val="nil"/>
              <w:left w:val="nil"/>
              <w:bottom w:val="nil"/>
              <w:right w:val="nil"/>
            </w:tcBorders>
          </w:tcPr>
          <w:p w:rsidR="002F7BFE" w:rsidRPr="002F7BFE" w:rsidRDefault="002F7BFE" w:rsidP="002F7BFE">
            <w:pPr>
              <w:rPr>
                <w:rFonts w:asciiTheme="minorHAnsi" w:hAnsiTheme="minorHAnsi" w:cstheme="minorHAnsi"/>
                <w:szCs w:val="22"/>
              </w:rPr>
            </w:pPr>
          </w:p>
        </w:tc>
        <w:tc>
          <w:tcPr>
            <w:tcW w:w="2983" w:type="dxa"/>
            <w:tcBorders>
              <w:top w:val="nil"/>
              <w:left w:val="nil"/>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21</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proofErr w:type="spellStart"/>
            <w:r w:rsidRPr="002F7BFE">
              <w:rPr>
                <w:rFonts w:asciiTheme="minorHAnsi" w:hAnsiTheme="minorHAnsi" w:cstheme="minorHAnsi"/>
                <w:szCs w:val="22"/>
              </w:rPr>
              <w:t>Ofgem</w:t>
            </w:r>
            <w:proofErr w:type="spellEnd"/>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Stacy</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proofErr w:type="spellStart"/>
            <w:r w:rsidRPr="002F7BFE">
              <w:rPr>
                <w:rFonts w:asciiTheme="minorHAnsi" w:hAnsiTheme="minorHAnsi" w:cstheme="minorHAnsi"/>
                <w:szCs w:val="22"/>
              </w:rPr>
              <w:t>Feldmann</w:t>
            </w:r>
            <w:proofErr w:type="spellEnd"/>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SF</w:t>
            </w: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 xml:space="preserve">-- </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Energy Networks Association</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000000" w:fill="BFBFCC"/>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 </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000000" w:fill="BFBFCC"/>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 </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r w:rsidRPr="002F7BFE">
              <w:rPr>
                <w:rFonts w:asciiTheme="minorHAnsi" w:hAnsiTheme="minorHAnsi" w:cstheme="minorHAnsi"/>
                <w:sz w:val="20"/>
                <w:szCs w:val="20"/>
              </w:rPr>
              <w:t>apologies - written message</w:t>
            </w:r>
          </w:p>
        </w:tc>
      </w:tr>
      <w:tr w:rsidR="002F7BFE" w:rsidRPr="002F7BFE" w:rsidTr="00415CDF">
        <w:trPr>
          <w:trHeight w:val="420"/>
        </w:trPr>
        <w:tc>
          <w:tcPr>
            <w:tcW w:w="0" w:type="auto"/>
            <w:tcBorders>
              <w:top w:val="nil"/>
              <w:left w:val="nil"/>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p>
        </w:tc>
        <w:tc>
          <w:tcPr>
            <w:tcW w:w="5531" w:type="dxa"/>
            <w:gridSpan w:val="3"/>
            <w:tcBorders>
              <w:top w:val="single" w:sz="2" w:space="0" w:color="61617A" w:themeColor="background1" w:themeShade="80"/>
              <w:left w:val="nil"/>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b/>
                <w:bCs/>
                <w:szCs w:val="22"/>
              </w:rPr>
            </w:pPr>
            <w:r w:rsidRPr="002F7BFE">
              <w:rPr>
                <w:rFonts w:asciiTheme="minorHAnsi" w:hAnsiTheme="minorHAnsi" w:cstheme="minorHAnsi"/>
                <w:b/>
                <w:bCs/>
                <w:szCs w:val="22"/>
              </w:rPr>
              <w:t>Apologies</w:t>
            </w:r>
          </w:p>
        </w:tc>
        <w:tc>
          <w:tcPr>
            <w:tcW w:w="866" w:type="dxa"/>
            <w:tcBorders>
              <w:top w:val="nil"/>
              <w:left w:val="nil"/>
              <w:bottom w:val="nil"/>
              <w:right w:val="nil"/>
            </w:tcBorders>
          </w:tcPr>
          <w:p w:rsidR="002F7BFE" w:rsidRPr="002F7BFE" w:rsidRDefault="002F7BFE" w:rsidP="002F7BFE">
            <w:pPr>
              <w:rPr>
                <w:rFonts w:asciiTheme="minorHAnsi" w:hAnsiTheme="minorHAnsi" w:cstheme="minorHAnsi"/>
                <w:szCs w:val="22"/>
              </w:rPr>
            </w:pPr>
          </w:p>
        </w:tc>
        <w:tc>
          <w:tcPr>
            <w:tcW w:w="2983" w:type="dxa"/>
            <w:tcBorders>
              <w:top w:val="nil"/>
              <w:left w:val="nil"/>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1</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NHBC</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Neil</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Smith</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420"/>
        </w:trPr>
        <w:tc>
          <w:tcPr>
            <w:tcW w:w="0" w:type="auto"/>
            <w:tcBorders>
              <w:left w:val="nil"/>
              <w:bottom w:val="nil"/>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p>
        </w:tc>
        <w:tc>
          <w:tcPr>
            <w:tcW w:w="5531" w:type="dxa"/>
            <w:gridSpan w:val="3"/>
            <w:tcBorders>
              <w:top w:val="single" w:sz="2" w:space="0" w:color="61617A" w:themeColor="background1" w:themeShade="80"/>
              <w:left w:val="nil"/>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b/>
                <w:bCs/>
                <w:szCs w:val="22"/>
              </w:rPr>
            </w:pPr>
            <w:r w:rsidRPr="002F7BFE">
              <w:rPr>
                <w:rFonts w:asciiTheme="minorHAnsi" w:hAnsiTheme="minorHAnsi" w:cstheme="minorHAnsi"/>
                <w:b/>
                <w:bCs/>
                <w:szCs w:val="22"/>
              </w:rPr>
              <w:t>Did not attend</w:t>
            </w:r>
          </w:p>
        </w:tc>
        <w:tc>
          <w:tcPr>
            <w:tcW w:w="866" w:type="dxa"/>
            <w:tcBorders>
              <w:top w:val="nil"/>
              <w:left w:val="nil"/>
              <w:bottom w:val="nil"/>
              <w:right w:val="nil"/>
            </w:tcBorders>
          </w:tcPr>
          <w:p w:rsidR="002F7BFE" w:rsidRPr="002F7BFE" w:rsidRDefault="002F7BFE" w:rsidP="002F7BFE">
            <w:pPr>
              <w:rPr>
                <w:rFonts w:asciiTheme="minorHAnsi" w:hAnsiTheme="minorHAnsi" w:cstheme="minorHAnsi"/>
                <w:szCs w:val="22"/>
              </w:rPr>
            </w:pPr>
          </w:p>
        </w:tc>
        <w:tc>
          <w:tcPr>
            <w:tcW w:w="2983" w:type="dxa"/>
            <w:tcBorders>
              <w:top w:val="nil"/>
              <w:left w:val="nil"/>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1</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BPVA</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Reza</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proofErr w:type="spellStart"/>
            <w:r w:rsidRPr="002F7BFE">
              <w:rPr>
                <w:rFonts w:asciiTheme="minorHAnsi" w:hAnsiTheme="minorHAnsi" w:cstheme="minorHAnsi"/>
                <w:szCs w:val="22"/>
              </w:rPr>
              <w:t>Shaybani</w:t>
            </w:r>
            <w:proofErr w:type="spellEnd"/>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r w:rsidRPr="002F7BFE">
              <w:rPr>
                <w:rFonts w:asciiTheme="minorHAnsi" w:hAnsiTheme="minorHAnsi" w:cstheme="minorHAnsi"/>
                <w:sz w:val="20"/>
                <w:szCs w:val="20"/>
              </w:rPr>
              <w:t xml:space="preserve">neither </w:t>
            </w:r>
            <w:proofErr w:type="spellStart"/>
            <w:r w:rsidRPr="002F7BFE">
              <w:rPr>
                <w:rFonts w:asciiTheme="minorHAnsi" w:hAnsiTheme="minorHAnsi" w:cstheme="minorHAnsi"/>
                <w:sz w:val="20"/>
                <w:szCs w:val="20"/>
              </w:rPr>
              <w:t>Seb</w:t>
            </w:r>
            <w:proofErr w:type="spellEnd"/>
            <w:r w:rsidRPr="002F7BFE">
              <w:rPr>
                <w:rFonts w:asciiTheme="minorHAnsi" w:hAnsiTheme="minorHAnsi" w:cstheme="minorHAnsi"/>
                <w:sz w:val="20"/>
                <w:szCs w:val="20"/>
              </w:rPr>
              <w:t xml:space="preserve"> Berry</w:t>
            </w: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2</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 xml:space="preserve">FETA  </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 xml:space="preserve">Terry </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Seward</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3</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LGA</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Abigail</w:t>
            </w:r>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 xml:space="preserve">Burridge </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r w:rsidR="002F7BFE" w:rsidRPr="002F7BFE" w:rsidTr="00415CDF">
        <w:trPr>
          <w:trHeight w:val="300"/>
        </w:trPr>
        <w:tc>
          <w:tcPr>
            <w:tcW w:w="0" w:type="auto"/>
            <w:tcBorders>
              <w:top w:val="nil"/>
              <w:left w:val="nil"/>
              <w:bottom w:val="nil"/>
              <w:right w:val="single" w:sz="2" w:space="0" w:color="61617A" w:themeColor="background1" w:themeShade="80"/>
            </w:tcBorders>
            <w:shd w:val="clear" w:color="auto" w:fill="auto"/>
            <w:noWrap/>
            <w:vAlign w:val="center"/>
            <w:hideMark/>
          </w:tcPr>
          <w:p w:rsidR="002F7BFE" w:rsidRPr="002F7BFE" w:rsidRDefault="002F7BFE" w:rsidP="002F7BFE">
            <w:pPr>
              <w:jc w:val="right"/>
              <w:rPr>
                <w:rFonts w:asciiTheme="minorHAnsi" w:hAnsiTheme="minorHAnsi" w:cstheme="minorHAnsi"/>
                <w:szCs w:val="22"/>
              </w:rPr>
            </w:pPr>
            <w:r w:rsidRPr="002F7BFE">
              <w:rPr>
                <w:rFonts w:asciiTheme="minorHAnsi" w:hAnsiTheme="minorHAnsi" w:cstheme="minorHAnsi"/>
                <w:szCs w:val="22"/>
              </w:rPr>
              <w:t>4</w:t>
            </w:r>
          </w:p>
        </w:tc>
        <w:tc>
          <w:tcPr>
            <w:tcW w:w="2919" w:type="dxa"/>
            <w:tcBorders>
              <w:top w:val="single" w:sz="2" w:space="0" w:color="61617A" w:themeColor="background1" w:themeShade="80"/>
              <w:left w:val="single" w:sz="2" w:space="0" w:color="61617A" w:themeColor="background1" w:themeShade="80"/>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UKBCSE</w:t>
            </w:r>
          </w:p>
        </w:tc>
        <w:tc>
          <w:tcPr>
            <w:tcW w:w="1316" w:type="dxa"/>
            <w:tcBorders>
              <w:top w:val="single" w:sz="2" w:space="0" w:color="61617A" w:themeColor="background1" w:themeShade="80"/>
              <w:left w:val="single" w:sz="2" w:space="0" w:color="61617A" w:themeColor="background1" w:themeShade="80"/>
              <w:bottom w:val="single" w:sz="2" w:space="0" w:color="61617A" w:themeColor="background1" w:themeShade="80"/>
              <w:right w:val="nil"/>
            </w:tcBorders>
            <w:shd w:val="clear" w:color="auto" w:fill="auto"/>
            <w:noWrap/>
            <w:vAlign w:val="center"/>
            <w:hideMark/>
          </w:tcPr>
          <w:p w:rsidR="002F7BFE" w:rsidRPr="002F7BFE" w:rsidRDefault="002F7BFE" w:rsidP="002F7BFE">
            <w:pPr>
              <w:rPr>
                <w:rFonts w:asciiTheme="minorHAnsi" w:hAnsiTheme="minorHAnsi" w:cstheme="minorHAnsi"/>
                <w:szCs w:val="22"/>
              </w:rPr>
            </w:pPr>
            <w:proofErr w:type="spellStart"/>
            <w:r w:rsidRPr="002F7BFE">
              <w:rPr>
                <w:rFonts w:asciiTheme="minorHAnsi" w:hAnsiTheme="minorHAnsi" w:cstheme="minorHAnsi"/>
                <w:szCs w:val="22"/>
              </w:rPr>
              <w:t>Amisha</w:t>
            </w:r>
            <w:proofErr w:type="spellEnd"/>
          </w:p>
        </w:tc>
        <w:tc>
          <w:tcPr>
            <w:tcW w:w="1296" w:type="dxa"/>
            <w:tcBorders>
              <w:top w:val="single" w:sz="2" w:space="0" w:color="61617A" w:themeColor="background1" w:themeShade="80"/>
              <w:left w:val="nil"/>
              <w:bottom w:val="single" w:sz="2" w:space="0" w:color="61617A" w:themeColor="background1" w:themeShade="80"/>
              <w:right w:val="single" w:sz="2" w:space="0" w:color="61617A" w:themeColor="background1" w:themeShade="80"/>
            </w:tcBorders>
            <w:shd w:val="clear" w:color="auto" w:fill="auto"/>
            <w:noWrap/>
            <w:vAlign w:val="center"/>
            <w:hideMark/>
          </w:tcPr>
          <w:p w:rsidR="002F7BFE" w:rsidRPr="002F7BFE" w:rsidRDefault="002F7BFE" w:rsidP="002F7BFE">
            <w:pPr>
              <w:rPr>
                <w:rFonts w:asciiTheme="minorHAnsi" w:hAnsiTheme="minorHAnsi" w:cstheme="minorHAnsi"/>
                <w:szCs w:val="22"/>
              </w:rPr>
            </w:pPr>
            <w:r w:rsidRPr="002F7BFE">
              <w:rPr>
                <w:rFonts w:asciiTheme="minorHAnsi" w:hAnsiTheme="minorHAnsi" w:cstheme="minorHAnsi"/>
                <w:szCs w:val="22"/>
              </w:rPr>
              <w:t>Patel</w:t>
            </w:r>
          </w:p>
        </w:tc>
        <w:tc>
          <w:tcPr>
            <w:tcW w:w="866" w:type="dxa"/>
            <w:tcBorders>
              <w:top w:val="nil"/>
              <w:left w:val="single" w:sz="2" w:space="0" w:color="61617A" w:themeColor="background1" w:themeShade="80"/>
              <w:bottom w:val="nil"/>
              <w:right w:val="single" w:sz="2" w:space="0" w:color="61617A" w:themeColor="background1" w:themeShade="80"/>
            </w:tcBorders>
          </w:tcPr>
          <w:p w:rsidR="002F7BFE" w:rsidRPr="002F7BFE" w:rsidRDefault="002F7BFE" w:rsidP="002F7BFE">
            <w:pPr>
              <w:rPr>
                <w:rFonts w:asciiTheme="minorHAnsi" w:hAnsiTheme="minorHAnsi" w:cstheme="minorHAnsi"/>
                <w:szCs w:val="22"/>
              </w:rPr>
            </w:pPr>
          </w:p>
        </w:tc>
        <w:tc>
          <w:tcPr>
            <w:tcW w:w="2983" w:type="dxa"/>
            <w:tcBorders>
              <w:top w:val="nil"/>
              <w:left w:val="single" w:sz="2" w:space="0" w:color="61617A" w:themeColor="background1" w:themeShade="80"/>
              <w:bottom w:val="nil"/>
              <w:right w:val="nil"/>
            </w:tcBorders>
            <w:shd w:val="clear" w:color="auto" w:fill="auto"/>
            <w:noWrap/>
            <w:vAlign w:val="center"/>
            <w:hideMark/>
          </w:tcPr>
          <w:p w:rsidR="002F7BFE" w:rsidRPr="002F7BFE" w:rsidRDefault="002F7BFE" w:rsidP="002F7BFE">
            <w:pPr>
              <w:rPr>
                <w:rFonts w:asciiTheme="minorHAnsi" w:hAnsiTheme="minorHAnsi" w:cstheme="minorHAnsi"/>
                <w:sz w:val="20"/>
                <w:szCs w:val="20"/>
              </w:rPr>
            </w:pPr>
          </w:p>
        </w:tc>
      </w:tr>
    </w:tbl>
    <w:p w:rsidR="002F7BFE" w:rsidRPr="002F7BFE" w:rsidRDefault="002F7BFE" w:rsidP="002F7BFE">
      <w:pPr>
        <w:keepNext/>
        <w:keepLines/>
        <w:spacing w:before="480" w:after="120" w:line="276" w:lineRule="auto"/>
        <w:ind w:left="369" w:hanging="369"/>
        <w:outlineLvl w:val="2"/>
        <w:rPr>
          <w:rFonts w:ascii="Cambria" w:hAnsi="Cambria"/>
          <w:b/>
          <w:bCs/>
          <w:color w:val="00477F"/>
          <w:sz w:val="24"/>
          <w:szCs w:val="22"/>
          <w:lang w:eastAsia="en-US"/>
        </w:rPr>
      </w:pPr>
      <w:r w:rsidRPr="002F7BFE">
        <w:rPr>
          <w:rFonts w:ascii="Cambria" w:hAnsi="Cambria"/>
          <w:b/>
          <w:bCs/>
          <w:color w:val="00477F"/>
          <w:sz w:val="24"/>
          <w:szCs w:val="22"/>
          <w:lang w:eastAsia="en-US"/>
        </w:rPr>
        <w:lastRenderedPageBreak/>
        <w:t xml:space="preserve">Action Plan </w:t>
      </w:r>
      <w:proofErr w:type="gramStart"/>
      <w:r w:rsidRPr="002F7BFE">
        <w:rPr>
          <w:rFonts w:ascii="Cambria" w:hAnsi="Cambria"/>
          <w:b/>
          <w:bCs/>
          <w:color w:val="00477F"/>
          <w:sz w:val="24"/>
          <w:szCs w:val="22"/>
          <w:lang w:eastAsia="en-US"/>
        </w:rPr>
        <w:t>update</w:t>
      </w:r>
      <w:proofErr w:type="gramEnd"/>
      <w:r w:rsidRPr="002F7BFE">
        <w:rPr>
          <w:rFonts w:ascii="Cambria" w:hAnsi="Cambria"/>
          <w:b/>
          <w:bCs/>
          <w:color w:val="00477F"/>
          <w:sz w:val="24"/>
          <w:szCs w:val="22"/>
          <w:lang w:eastAsia="en-US"/>
        </w:rPr>
        <w:t xml:space="preserve"> report</w:t>
      </w:r>
    </w:p>
    <w:p w:rsidR="002F7BFE" w:rsidRPr="002F7BFE" w:rsidRDefault="002F7BFE" w:rsidP="002F7BFE">
      <w:pPr>
        <w:spacing w:after="120" w:line="276" w:lineRule="auto"/>
        <w:rPr>
          <w:rFonts w:ascii="Calibri" w:eastAsia="Calibri" w:hAnsi="Calibri"/>
          <w:sz w:val="23"/>
          <w:szCs w:val="22"/>
          <w:lang w:eastAsia="en-US"/>
        </w:rPr>
      </w:pPr>
      <w:r w:rsidRPr="002F7BFE">
        <w:rPr>
          <w:rFonts w:ascii="Calibri" w:eastAsia="Calibri" w:hAnsi="Calibri"/>
          <w:sz w:val="23"/>
          <w:szCs w:val="22"/>
          <w:lang w:eastAsia="en-US"/>
        </w:rPr>
        <w:t xml:space="preserve">The update report is the group’s programme management tool. The Partnership secretariat is preparing successive drafts, but group members, especially </w:t>
      </w:r>
      <w:proofErr w:type="spellStart"/>
      <w:r w:rsidRPr="002F7BFE">
        <w:rPr>
          <w:rFonts w:ascii="Calibri" w:eastAsia="Calibri" w:hAnsi="Calibri"/>
          <w:sz w:val="23"/>
          <w:szCs w:val="22"/>
          <w:lang w:eastAsia="en-US"/>
        </w:rPr>
        <w:t>workstream</w:t>
      </w:r>
      <w:proofErr w:type="spellEnd"/>
      <w:r w:rsidRPr="002F7BFE">
        <w:rPr>
          <w:rFonts w:ascii="Calibri" w:eastAsia="Calibri" w:hAnsi="Calibri"/>
          <w:sz w:val="23"/>
          <w:szCs w:val="22"/>
          <w:lang w:eastAsia="en-US"/>
        </w:rPr>
        <w:t xml:space="preserve"> leads, should ensure the report reflects the latest status of their </w:t>
      </w:r>
      <w:proofErr w:type="spellStart"/>
      <w:r w:rsidRPr="002F7BFE">
        <w:rPr>
          <w:rFonts w:ascii="Calibri" w:eastAsia="Calibri" w:hAnsi="Calibri"/>
          <w:sz w:val="23"/>
          <w:szCs w:val="22"/>
          <w:lang w:eastAsia="en-US"/>
        </w:rPr>
        <w:t>workstream</w:t>
      </w:r>
      <w:proofErr w:type="spellEnd"/>
      <w:r w:rsidRPr="002F7BFE">
        <w:rPr>
          <w:rFonts w:ascii="Calibri" w:eastAsia="Calibri" w:hAnsi="Calibri"/>
          <w:sz w:val="23"/>
          <w:szCs w:val="22"/>
          <w:lang w:eastAsia="en-US"/>
        </w:rPr>
        <w:t xml:space="preserve">. </w:t>
      </w:r>
    </w:p>
    <w:p w:rsidR="002F7BFE" w:rsidRPr="002F7BFE" w:rsidRDefault="002F7BFE" w:rsidP="002F7BFE">
      <w:pPr>
        <w:keepNext/>
        <w:keepLines/>
        <w:numPr>
          <w:ilvl w:val="1"/>
          <w:numId w:val="0"/>
        </w:numPr>
        <w:spacing w:before="200" w:after="80" w:line="276" w:lineRule="auto"/>
        <w:ind w:left="454" w:hanging="454"/>
        <w:outlineLvl w:val="3"/>
        <w:rPr>
          <w:rFonts w:ascii="Cambria" w:hAnsi="Cambria"/>
          <w:b/>
          <w:bCs/>
          <w:iCs/>
          <w:color w:val="00477F"/>
          <w:sz w:val="23"/>
          <w:szCs w:val="22"/>
          <w:lang w:eastAsia="en-US"/>
        </w:rPr>
      </w:pPr>
      <w:r w:rsidRPr="002F7BFE">
        <w:rPr>
          <w:rFonts w:ascii="Cambria" w:hAnsi="Cambria"/>
          <w:b/>
          <w:bCs/>
          <w:iCs/>
          <w:color w:val="00477F"/>
          <w:sz w:val="23"/>
          <w:szCs w:val="22"/>
          <w:lang w:eastAsia="en-US"/>
        </w:rPr>
        <w:t>Actions</w:t>
      </w:r>
    </w:p>
    <w:p w:rsidR="002F7BFE" w:rsidRPr="002F7BFE" w:rsidRDefault="002F7BFE" w:rsidP="006B6041">
      <w:pPr>
        <w:numPr>
          <w:ilvl w:val="0"/>
          <w:numId w:val="9"/>
        </w:numPr>
        <w:spacing w:after="120" w:line="276" w:lineRule="auto"/>
        <w:ind w:left="511" w:hanging="284"/>
        <w:contextualSpacing/>
        <w:rPr>
          <w:rFonts w:ascii="Calibri" w:eastAsia="Calibri" w:hAnsi="Calibri"/>
          <w:sz w:val="23"/>
          <w:szCs w:val="22"/>
          <w:lang w:eastAsia="en-US"/>
        </w:rPr>
      </w:pPr>
      <w:r w:rsidRPr="002F7BFE">
        <w:rPr>
          <w:rFonts w:ascii="Calibri" w:eastAsia="Calibri" w:hAnsi="Calibri"/>
          <w:sz w:val="23"/>
          <w:szCs w:val="22"/>
          <w:lang w:eastAsia="en-US"/>
        </w:rPr>
        <w:t xml:space="preserve">Initial scoping documents for the two workshops were put onto Huddle, no comments received so far. </w:t>
      </w:r>
      <w:r w:rsidRPr="002F7BFE">
        <w:rPr>
          <w:rFonts w:ascii="Calibri" w:eastAsia="Calibri" w:hAnsi="Calibri"/>
          <w:b/>
          <w:sz w:val="23"/>
          <w:szCs w:val="22"/>
          <w:lang w:eastAsia="en-US"/>
        </w:rPr>
        <w:t>Action</w:t>
      </w:r>
      <w:r w:rsidRPr="002F7BFE">
        <w:rPr>
          <w:rFonts w:ascii="Calibri" w:eastAsia="Calibri" w:hAnsi="Calibri"/>
          <w:sz w:val="23"/>
          <w:szCs w:val="22"/>
          <w:lang w:eastAsia="en-US"/>
        </w:rPr>
        <w:t xml:space="preserve"> remains on </w:t>
      </w:r>
      <w:r w:rsidRPr="002F7BFE">
        <w:rPr>
          <w:rFonts w:ascii="Calibri" w:eastAsia="Calibri" w:hAnsi="Calibri"/>
          <w:b/>
          <w:sz w:val="23"/>
          <w:szCs w:val="22"/>
          <w:lang w:eastAsia="en-US"/>
        </w:rPr>
        <w:t>ALL</w:t>
      </w:r>
      <w:r w:rsidRPr="002F7BFE">
        <w:rPr>
          <w:rFonts w:ascii="Calibri" w:eastAsia="Calibri" w:hAnsi="Calibri"/>
          <w:sz w:val="23"/>
          <w:szCs w:val="22"/>
          <w:lang w:eastAsia="en-US"/>
        </w:rPr>
        <w:t xml:space="preserve"> to review and add comments.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Regarding comments to the EST Buyers’ guide, none were received other than those discussed at the last meeting.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Agreed performance data and performance estimates would be useful across </w:t>
      </w:r>
      <w:proofErr w:type="spellStart"/>
      <w:r w:rsidRPr="002F7BFE">
        <w:rPr>
          <w:rFonts w:ascii="Calibri" w:eastAsia="Calibri" w:hAnsi="Calibri"/>
          <w:sz w:val="23"/>
          <w:szCs w:val="22"/>
          <w:lang w:eastAsia="en-US"/>
        </w:rPr>
        <w:t>Govmt</w:t>
      </w:r>
      <w:proofErr w:type="spellEnd"/>
      <w:r w:rsidRPr="002F7BFE">
        <w:rPr>
          <w:rFonts w:ascii="Calibri" w:eastAsia="Calibri" w:hAnsi="Calibri"/>
          <w:sz w:val="23"/>
          <w:szCs w:val="22"/>
          <w:lang w:eastAsia="en-US"/>
        </w:rPr>
        <w:t xml:space="preserve"> &amp; in</w:t>
      </w:r>
      <w:r w:rsidRPr="002F7BFE">
        <w:rPr>
          <w:rFonts w:ascii="Calibri" w:eastAsia="Calibri" w:hAnsi="Calibri"/>
          <w:sz w:val="23"/>
          <w:szCs w:val="22"/>
          <w:lang w:eastAsia="en-US"/>
        </w:rPr>
        <w:softHyphen/>
        <w:t xml:space="preserve">dustry. These could be developed as part of the technology factsheets, or the GD consumer advice leaflet which DECC has commissioned the Partnership to develop. The messaging workshop will also pick up this discussion. EST </w:t>
      </w:r>
      <w:proofErr w:type="gramStart"/>
      <w:r w:rsidRPr="002F7BFE">
        <w:rPr>
          <w:rFonts w:ascii="Calibri" w:eastAsia="Calibri" w:hAnsi="Calibri"/>
          <w:sz w:val="23"/>
          <w:szCs w:val="22"/>
          <w:lang w:eastAsia="en-US"/>
        </w:rPr>
        <w:t>seem</w:t>
      </w:r>
      <w:proofErr w:type="gramEnd"/>
      <w:r w:rsidRPr="002F7BFE">
        <w:rPr>
          <w:rFonts w:ascii="Calibri" w:eastAsia="Calibri" w:hAnsi="Calibri"/>
          <w:sz w:val="23"/>
          <w:szCs w:val="22"/>
          <w:lang w:eastAsia="en-US"/>
        </w:rPr>
        <w:t xml:space="preserve"> to gather their own data, which forms the basis of tools (e.g. online calculators) they publish. It could be detrimental to credibility if a joint association website provided one set of estimates but EST said something different.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RC added that a communications workshop was held in Scotland, and a hub website was recommended for signposting (including links to other sources of information). Mike Thornton at EST Scotland is interested in looking into that. She also mentioned that the Scottish </w:t>
      </w:r>
      <w:proofErr w:type="spellStart"/>
      <w:r w:rsidRPr="002F7BFE">
        <w:rPr>
          <w:rFonts w:ascii="Calibri" w:eastAsia="Calibri" w:hAnsi="Calibri"/>
          <w:sz w:val="23"/>
          <w:szCs w:val="22"/>
          <w:lang w:eastAsia="en-US"/>
        </w:rPr>
        <w:t>Microgen</w:t>
      </w:r>
      <w:proofErr w:type="spellEnd"/>
      <w:r w:rsidRPr="002F7BFE">
        <w:rPr>
          <w:rFonts w:ascii="Calibri" w:eastAsia="Calibri" w:hAnsi="Calibri"/>
          <w:sz w:val="23"/>
          <w:szCs w:val="22"/>
          <w:lang w:eastAsia="en-US"/>
        </w:rPr>
        <w:t xml:space="preserve"> Strategy will be launched in the </w:t>
      </w:r>
      <w:proofErr w:type="gramStart"/>
      <w:r w:rsidRPr="002F7BFE">
        <w:rPr>
          <w:rFonts w:ascii="Calibri" w:eastAsia="Calibri" w:hAnsi="Calibri"/>
          <w:sz w:val="23"/>
          <w:szCs w:val="22"/>
          <w:lang w:eastAsia="en-US"/>
        </w:rPr>
        <w:t>new year</w:t>
      </w:r>
      <w:proofErr w:type="gramEnd"/>
      <w:r w:rsidRPr="002F7BFE">
        <w:rPr>
          <w:rFonts w:ascii="Calibri" w:eastAsia="Calibri" w:hAnsi="Calibri"/>
          <w:sz w:val="23"/>
          <w:szCs w:val="22"/>
          <w:lang w:eastAsia="en-US"/>
        </w:rPr>
        <w:t xml:space="preserve">.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It was discussed that climatic conditions as well as building and planning regulations are different in Scotland, but there could still be one central GB or UK website containing sections and/or signposting to specific sites for the devolved nations. There will also be the GD remote advice service website which will provide some signposting.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It was agreed that the data/information needs to be developed first, and then considered how to distribute it.</w:t>
      </w:r>
    </w:p>
    <w:p w:rsidR="002F7BFE" w:rsidRPr="002F7BFE" w:rsidRDefault="002F7BFE" w:rsidP="002F7BFE">
      <w:pPr>
        <w:keepNext/>
        <w:keepLines/>
        <w:spacing w:before="480" w:after="120" w:line="276" w:lineRule="auto"/>
        <w:ind w:left="369" w:hanging="369"/>
        <w:outlineLvl w:val="2"/>
        <w:rPr>
          <w:rFonts w:ascii="Cambria" w:hAnsi="Cambria"/>
          <w:b/>
          <w:bCs/>
          <w:color w:val="00477F"/>
          <w:sz w:val="24"/>
          <w:szCs w:val="22"/>
          <w:lang w:eastAsia="en-US"/>
        </w:rPr>
      </w:pPr>
      <w:r w:rsidRPr="002F7BFE">
        <w:rPr>
          <w:rFonts w:ascii="Cambria" w:hAnsi="Cambria"/>
          <w:b/>
          <w:bCs/>
          <w:color w:val="00477F"/>
          <w:sz w:val="24"/>
          <w:szCs w:val="22"/>
          <w:lang w:eastAsia="en-US"/>
        </w:rPr>
        <w:t xml:space="preserve">Connection Issues for </w:t>
      </w:r>
      <w:proofErr w:type="spellStart"/>
      <w:r w:rsidRPr="002F7BFE">
        <w:rPr>
          <w:rFonts w:ascii="Cambria" w:hAnsi="Cambria"/>
          <w:b/>
          <w:bCs/>
          <w:color w:val="00477F"/>
          <w:sz w:val="24"/>
          <w:szCs w:val="22"/>
          <w:lang w:eastAsia="en-US"/>
        </w:rPr>
        <w:t>Microgen</w:t>
      </w:r>
      <w:proofErr w:type="spellEnd"/>
      <w:r w:rsidRPr="002F7BFE">
        <w:rPr>
          <w:rFonts w:ascii="Cambria" w:hAnsi="Cambria"/>
          <w:b/>
          <w:bCs/>
          <w:color w:val="00477F"/>
          <w:sz w:val="24"/>
          <w:szCs w:val="22"/>
          <w:lang w:eastAsia="en-US"/>
        </w:rPr>
        <w:t xml:space="preserve"> – </w:t>
      </w:r>
      <w:proofErr w:type="spellStart"/>
      <w:r w:rsidRPr="002F7BFE">
        <w:rPr>
          <w:rFonts w:ascii="Cambria" w:hAnsi="Cambria"/>
          <w:b/>
          <w:bCs/>
          <w:color w:val="00477F"/>
          <w:sz w:val="24"/>
          <w:szCs w:val="22"/>
          <w:lang w:eastAsia="en-US"/>
        </w:rPr>
        <w:t>Ofgem</w:t>
      </w:r>
      <w:proofErr w:type="spellEnd"/>
      <w:r w:rsidRPr="002F7BFE">
        <w:rPr>
          <w:rFonts w:ascii="Cambria" w:hAnsi="Cambria"/>
          <w:b/>
          <w:bCs/>
          <w:color w:val="00477F"/>
          <w:sz w:val="24"/>
          <w:szCs w:val="22"/>
          <w:lang w:eastAsia="en-US"/>
        </w:rPr>
        <w:t xml:space="preserve"> / ENA</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Adrian Butt (DECC) introduced is team and area: he manages the relation between the future electricity networks team and the smart grid forum, core focus being to gauge the levels of investment into the national grid that are fair to consumers and take account of the Government’s ambitions to go towards a low-carbon economy. The heat strategy team is also involved. There are three major work programmes, which are to finish by first quarter next year: </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 xml:space="preserve">Led by DECC: Future challenges to grid demand, e.g.  from heat pumps and other microgeneration technologies, and electric vehicles; developing assumptions and scenarios </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Led by ENA: particular approaches for smart technologies, voltage issues, capacity issues etc., ensuring that the networks can cope; the network is currently not fit for purpose for these new technologies</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lastRenderedPageBreak/>
        <w:t xml:space="preserve">Led by </w:t>
      </w:r>
      <w:proofErr w:type="spellStart"/>
      <w:r w:rsidRPr="002F7BFE">
        <w:rPr>
          <w:rFonts w:ascii="Calibri" w:eastAsia="Calibri" w:hAnsi="Calibri"/>
          <w:sz w:val="23"/>
          <w:szCs w:val="22"/>
          <w:lang w:eastAsia="en-US"/>
        </w:rPr>
        <w:t>Ofgem</w:t>
      </w:r>
      <w:proofErr w:type="spellEnd"/>
      <w:r w:rsidRPr="002F7BFE">
        <w:rPr>
          <w:rFonts w:ascii="Calibri" w:eastAsia="Calibri" w:hAnsi="Calibri"/>
          <w:sz w:val="23"/>
          <w:szCs w:val="22"/>
          <w:lang w:eastAsia="en-US"/>
        </w:rPr>
        <w:t>: evaluation framework challenges and solutions – helping evaluate DNO’s business plans</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Some MGICG member organisations are represented at some of the groups for these </w:t>
      </w:r>
      <w:proofErr w:type="spellStart"/>
      <w:r w:rsidRPr="002F7BFE">
        <w:rPr>
          <w:rFonts w:ascii="Calibri" w:eastAsia="Calibri" w:hAnsi="Calibri"/>
          <w:sz w:val="23"/>
          <w:szCs w:val="22"/>
          <w:lang w:eastAsia="en-US"/>
        </w:rPr>
        <w:t>workstreams</w:t>
      </w:r>
      <w:proofErr w:type="spellEnd"/>
      <w:r w:rsidRPr="002F7BFE">
        <w:rPr>
          <w:rFonts w:ascii="Calibri" w:eastAsia="Calibri" w:hAnsi="Calibri"/>
          <w:sz w:val="23"/>
          <w:szCs w:val="22"/>
          <w:lang w:eastAsia="en-US"/>
        </w:rPr>
        <w:t xml:space="preserve">. </w:t>
      </w:r>
      <w:r w:rsidRPr="002F7BFE">
        <w:rPr>
          <w:rFonts w:ascii="Calibri" w:eastAsia="Calibri" w:hAnsi="Calibri"/>
          <w:b/>
          <w:sz w:val="23"/>
          <w:szCs w:val="22"/>
          <w:lang w:eastAsia="en-US"/>
        </w:rPr>
        <w:t>*Action EEPH</w:t>
      </w:r>
      <w:r w:rsidRPr="002F7BFE">
        <w:rPr>
          <w:rFonts w:ascii="Calibri" w:eastAsia="Calibri" w:hAnsi="Calibri"/>
          <w:sz w:val="23"/>
          <w:szCs w:val="22"/>
          <w:lang w:eastAsia="en-US"/>
        </w:rPr>
        <w:t xml:space="preserve"> to develop an overview of the groups, incl. timings &amp; member</w:t>
      </w:r>
      <w:r w:rsidRPr="002F7BFE">
        <w:rPr>
          <w:rFonts w:ascii="Calibri" w:eastAsia="Calibri" w:hAnsi="Calibri"/>
          <w:sz w:val="23"/>
          <w:szCs w:val="22"/>
          <w:lang w:eastAsia="en-US"/>
        </w:rPr>
        <w:softHyphen/>
        <w:t xml:space="preserve">ship, to explore how the MGICG could contribute or stay up to date on developments; </w:t>
      </w:r>
      <w:r w:rsidRPr="002F7BFE">
        <w:rPr>
          <w:rFonts w:ascii="Calibri" w:eastAsia="Calibri" w:hAnsi="Calibri"/>
          <w:b/>
          <w:sz w:val="23"/>
          <w:szCs w:val="22"/>
          <w:lang w:eastAsia="en-US"/>
        </w:rPr>
        <w:t>*Action association members</w:t>
      </w:r>
      <w:r w:rsidRPr="002F7BFE">
        <w:rPr>
          <w:rFonts w:ascii="Calibri" w:eastAsia="Calibri" w:hAnsi="Calibri"/>
          <w:sz w:val="23"/>
          <w:szCs w:val="22"/>
          <w:lang w:eastAsia="en-US"/>
        </w:rPr>
        <w:t xml:space="preserve"> to feed back to EEPH on their involvement/participation in ENA </w:t>
      </w:r>
      <w:proofErr w:type="spellStart"/>
      <w:r w:rsidRPr="002F7BFE">
        <w:rPr>
          <w:rFonts w:ascii="Calibri" w:eastAsia="Calibri" w:hAnsi="Calibri"/>
          <w:sz w:val="23"/>
          <w:szCs w:val="22"/>
          <w:lang w:eastAsia="en-US"/>
        </w:rPr>
        <w:t>workstreams</w:t>
      </w:r>
      <w:proofErr w:type="spellEnd"/>
      <w:r w:rsidRPr="002F7BFE">
        <w:rPr>
          <w:rFonts w:ascii="Calibri" w:eastAsia="Calibri" w:hAnsi="Calibri"/>
          <w:sz w:val="23"/>
          <w:szCs w:val="22"/>
          <w:lang w:eastAsia="en-US"/>
        </w:rPr>
        <w:t xml:space="preserve"> ; then </w:t>
      </w:r>
      <w:proofErr w:type="spellStart"/>
      <w:r w:rsidRPr="002F7BFE">
        <w:rPr>
          <w:rFonts w:ascii="Calibri" w:eastAsia="Calibri" w:hAnsi="Calibri"/>
          <w:sz w:val="23"/>
          <w:szCs w:val="22"/>
          <w:lang w:eastAsia="en-US"/>
        </w:rPr>
        <w:t>Ofgem</w:t>
      </w:r>
      <w:proofErr w:type="spellEnd"/>
      <w:r w:rsidRPr="002F7BFE">
        <w:rPr>
          <w:rFonts w:ascii="Calibri" w:eastAsia="Calibri" w:hAnsi="Calibri"/>
          <w:sz w:val="23"/>
          <w:szCs w:val="22"/>
          <w:lang w:eastAsia="en-US"/>
        </w:rPr>
        <w:t xml:space="preserve"> and ENA to be re-invited for further discussion.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Stacy </w:t>
      </w:r>
      <w:proofErr w:type="spellStart"/>
      <w:r w:rsidRPr="002F7BFE">
        <w:rPr>
          <w:rFonts w:ascii="Calibri" w:eastAsia="Calibri" w:hAnsi="Calibri"/>
          <w:sz w:val="23"/>
          <w:szCs w:val="22"/>
          <w:lang w:eastAsia="en-US"/>
        </w:rPr>
        <w:t>Feldmann</w:t>
      </w:r>
      <w:proofErr w:type="spellEnd"/>
      <w:r w:rsidRPr="002F7BFE">
        <w:rPr>
          <w:rFonts w:ascii="Calibri" w:eastAsia="Calibri" w:hAnsi="Calibri"/>
          <w:sz w:val="23"/>
          <w:szCs w:val="22"/>
          <w:lang w:eastAsia="en-US"/>
        </w:rPr>
        <w:t xml:space="preserve"> (</w:t>
      </w:r>
      <w:proofErr w:type="spellStart"/>
      <w:r w:rsidRPr="002F7BFE">
        <w:rPr>
          <w:rFonts w:ascii="Calibri" w:eastAsia="Calibri" w:hAnsi="Calibri"/>
          <w:sz w:val="23"/>
          <w:szCs w:val="22"/>
          <w:lang w:eastAsia="en-US"/>
        </w:rPr>
        <w:t>Ofgem</w:t>
      </w:r>
      <w:proofErr w:type="spellEnd"/>
      <w:r w:rsidRPr="002F7BFE">
        <w:rPr>
          <w:rFonts w:ascii="Calibri" w:eastAsia="Calibri" w:hAnsi="Calibri"/>
          <w:sz w:val="23"/>
          <w:szCs w:val="22"/>
          <w:lang w:eastAsia="en-US"/>
        </w:rPr>
        <w:t xml:space="preserve">) provided more detail on their work: </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Smart grids</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 xml:space="preserve">Connection: price control measures for cost of connecting: transitioning from deep connection charges to shallower connection charges, balancing how much is socialised and how much the </w:t>
      </w:r>
      <w:proofErr w:type="spellStart"/>
      <w:r w:rsidRPr="002F7BFE">
        <w:rPr>
          <w:rFonts w:ascii="Calibri" w:eastAsia="Calibri" w:hAnsi="Calibri"/>
          <w:sz w:val="23"/>
          <w:szCs w:val="22"/>
          <w:lang w:eastAsia="en-US"/>
        </w:rPr>
        <w:t>connectee</w:t>
      </w:r>
      <w:proofErr w:type="spellEnd"/>
      <w:r w:rsidRPr="002F7BFE">
        <w:rPr>
          <w:rFonts w:ascii="Calibri" w:eastAsia="Calibri" w:hAnsi="Calibri"/>
          <w:sz w:val="23"/>
          <w:szCs w:val="22"/>
          <w:lang w:eastAsia="en-US"/>
        </w:rPr>
        <w:t xml:space="preserve"> has to pay</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 xml:space="preserve">Customer satisfaction survey, including </w:t>
      </w:r>
      <w:proofErr w:type="spellStart"/>
      <w:r w:rsidRPr="002F7BFE">
        <w:rPr>
          <w:rFonts w:ascii="Calibri" w:eastAsia="Calibri" w:hAnsi="Calibri"/>
          <w:sz w:val="23"/>
          <w:szCs w:val="22"/>
          <w:lang w:eastAsia="en-US"/>
        </w:rPr>
        <w:t>microgen</w:t>
      </w:r>
      <w:proofErr w:type="spellEnd"/>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 xml:space="preserve">The electricity connection steering group: </w:t>
      </w:r>
      <w:proofErr w:type="spellStart"/>
      <w:r w:rsidRPr="002F7BFE">
        <w:rPr>
          <w:rFonts w:ascii="Calibri" w:eastAsia="Calibri" w:hAnsi="Calibri"/>
          <w:sz w:val="23"/>
          <w:szCs w:val="22"/>
          <w:lang w:eastAsia="en-US"/>
        </w:rPr>
        <w:t>microgen</w:t>
      </w:r>
      <w:proofErr w:type="spellEnd"/>
      <w:r w:rsidRPr="002F7BFE">
        <w:rPr>
          <w:rFonts w:ascii="Calibri" w:eastAsia="Calibri" w:hAnsi="Calibri"/>
          <w:sz w:val="23"/>
          <w:szCs w:val="22"/>
          <w:lang w:eastAsia="en-US"/>
        </w:rPr>
        <w:t xml:space="preserve"> is complicated for DNOs; the DG forum did an open letter consultation with industry on challenges for getting connected; 90 responses were received, </w:t>
      </w:r>
      <w:proofErr w:type="spellStart"/>
      <w:r w:rsidRPr="002F7BFE">
        <w:rPr>
          <w:rFonts w:ascii="Calibri" w:eastAsia="Calibri" w:hAnsi="Calibri"/>
          <w:sz w:val="23"/>
          <w:szCs w:val="22"/>
          <w:lang w:eastAsia="en-US"/>
        </w:rPr>
        <w:t>roadshows</w:t>
      </w:r>
      <w:proofErr w:type="spellEnd"/>
      <w:r w:rsidRPr="002F7BFE">
        <w:rPr>
          <w:rFonts w:ascii="Calibri" w:eastAsia="Calibri" w:hAnsi="Calibri"/>
          <w:sz w:val="23"/>
          <w:szCs w:val="22"/>
          <w:lang w:eastAsia="en-US"/>
        </w:rPr>
        <w:t xml:space="preserve"> followed in Cardiff, Glasgow &amp; London, which condensed some key issues; DNOs were involved (breakout sessions) to determine regulatory barriers; </w:t>
      </w:r>
      <w:proofErr w:type="spellStart"/>
      <w:r w:rsidRPr="002F7BFE">
        <w:rPr>
          <w:rFonts w:ascii="Calibri" w:eastAsia="Calibri" w:hAnsi="Calibri"/>
          <w:sz w:val="23"/>
          <w:szCs w:val="22"/>
          <w:lang w:eastAsia="en-US"/>
        </w:rPr>
        <w:t>Ofgem</w:t>
      </w:r>
      <w:proofErr w:type="spellEnd"/>
      <w:r w:rsidRPr="002F7BFE">
        <w:rPr>
          <w:rFonts w:ascii="Calibri" w:eastAsia="Calibri" w:hAnsi="Calibri"/>
          <w:sz w:val="23"/>
          <w:szCs w:val="22"/>
          <w:lang w:eastAsia="en-US"/>
        </w:rPr>
        <w:t xml:space="preserve"> are meeting again on socialisation of costs, and separately with DNOs; the work is feeding into the next price control review (2014)</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There are two targets, one about short-term connection to grid and associated costs, which is urgent and impinging on current day-to-day business; and one longer-term about fitness-for-purpose of the grid. It would be helpful if </w:t>
      </w:r>
      <w:proofErr w:type="spellStart"/>
      <w:r w:rsidRPr="002F7BFE">
        <w:rPr>
          <w:rFonts w:ascii="Calibri" w:eastAsia="Calibri" w:hAnsi="Calibri"/>
          <w:sz w:val="23"/>
          <w:szCs w:val="22"/>
          <w:lang w:eastAsia="en-US"/>
        </w:rPr>
        <w:t>Ofgem</w:t>
      </w:r>
      <w:proofErr w:type="spellEnd"/>
      <w:r w:rsidRPr="002F7BFE">
        <w:rPr>
          <w:rFonts w:ascii="Calibri" w:eastAsia="Calibri" w:hAnsi="Calibri"/>
          <w:sz w:val="23"/>
          <w:szCs w:val="22"/>
          <w:lang w:eastAsia="en-US"/>
        </w:rPr>
        <w:t xml:space="preserve"> had (separate) timelines for dealing with these.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Small-scale generators need guidance on how to connect up. There are many complexities and confusion (e.g. around metering operators; power purchase agreements (PPAs); differences among power companies)</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GB mentioned that MPC are working on project called “PV legal” with the goal to identify and measure legal and administrative barriers to PV across Europe. A workshop will be held as part of the project, end Jan / beginning of Feb 2012, </w:t>
      </w:r>
      <w:r w:rsidRPr="002F7BFE">
        <w:rPr>
          <w:rFonts w:ascii="Calibri" w:eastAsia="Calibri" w:hAnsi="Calibri"/>
          <w:b/>
          <w:sz w:val="23"/>
          <w:szCs w:val="22"/>
          <w:lang w:eastAsia="en-US"/>
        </w:rPr>
        <w:t>*Action GB</w:t>
      </w:r>
      <w:r w:rsidRPr="002F7BFE">
        <w:rPr>
          <w:rFonts w:ascii="Calibri" w:eastAsia="Calibri" w:hAnsi="Calibri"/>
          <w:sz w:val="23"/>
          <w:szCs w:val="22"/>
          <w:lang w:eastAsia="en-US"/>
        </w:rPr>
        <w:t xml:space="preserve"> to provide details for distribution when available. </w:t>
      </w:r>
    </w:p>
    <w:p w:rsidR="002F7BFE" w:rsidRPr="002F7BFE" w:rsidRDefault="002F7BFE" w:rsidP="006B6041">
      <w:pPr>
        <w:keepNext/>
        <w:keepLines/>
        <w:numPr>
          <w:ilvl w:val="0"/>
          <w:numId w:val="10"/>
        </w:numPr>
        <w:spacing w:before="480" w:after="120" w:line="276" w:lineRule="auto"/>
        <w:ind w:left="369" w:hanging="369"/>
        <w:outlineLvl w:val="2"/>
        <w:rPr>
          <w:rFonts w:ascii="Cambria" w:hAnsi="Cambria"/>
          <w:b/>
          <w:bCs/>
          <w:color w:val="00477F"/>
          <w:sz w:val="24"/>
          <w:szCs w:val="22"/>
          <w:lang w:eastAsia="en-US"/>
        </w:rPr>
      </w:pPr>
      <w:r w:rsidRPr="002F7BFE">
        <w:rPr>
          <w:rFonts w:ascii="Cambria" w:hAnsi="Cambria"/>
          <w:b/>
          <w:bCs/>
          <w:color w:val="00477F"/>
          <w:sz w:val="24"/>
          <w:szCs w:val="22"/>
          <w:lang w:eastAsia="en-US"/>
        </w:rPr>
        <w:t>Workshops</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Aim for the planned messaging and warranties workshops should be to set out what customers can expect, e.g. regarding the remit of MCS or the REAL code, or available levels of warranties and insurance</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For GD, it is proposed in the consultation that comprehensive warranties should be the responsibility of the GD provider, while the onus for servicing and maintenance would be on </w:t>
      </w:r>
      <w:r w:rsidRPr="002F7BFE">
        <w:rPr>
          <w:rFonts w:ascii="Calibri" w:eastAsia="Calibri" w:hAnsi="Calibri"/>
          <w:sz w:val="23"/>
          <w:szCs w:val="22"/>
          <w:lang w:eastAsia="en-US"/>
        </w:rPr>
        <w:lastRenderedPageBreak/>
        <w:t xml:space="preserve">the householder. For </w:t>
      </w:r>
      <w:proofErr w:type="spellStart"/>
      <w:r w:rsidRPr="002F7BFE">
        <w:rPr>
          <w:rFonts w:ascii="Calibri" w:eastAsia="Calibri" w:hAnsi="Calibri"/>
          <w:sz w:val="23"/>
          <w:szCs w:val="22"/>
          <w:lang w:eastAsia="en-US"/>
        </w:rPr>
        <w:t>microgen</w:t>
      </w:r>
      <w:proofErr w:type="spellEnd"/>
      <w:r w:rsidRPr="002F7BFE">
        <w:rPr>
          <w:rFonts w:ascii="Calibri" w:eastAsia="Calibri" w:hAnsi="Calibri"/>
          <w:sz w:val="23"/>
          <w:szCs w:val="22"/>
          <w:lang w:eastAsia="en-US"/>
        </w:rPr>
        <w:t xml:space="preserve"> in particular, it seems like the two should rather go hand-in-hand.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It cannot be expected from customers to read the small print of warranty policies and understand what exactly is covered and under what conditions. The overriding principle for installations (also under GD) still is caveat emptor, so it is important to inform customers which questions to ask and whom to ask them. This should include: </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 xml:space="preserve">Lifetime costs and risks, incl. PV inverters and supplemental/allied technologies for each technology; customers are typically only interested in upfront costs. </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Warranty and insurance options and associated costs</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Contract issues – incl. explaining what responsibilities reside with the manufacturer and installer, and the designer and GD provider where applicable, and himself (the customer).</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The system design profession is mostly absent from the domestic sector, while non-domestic installations are typically designed by a professional consultant. The risk arising is that domestic installations could be designed in a way that they don’t comply with the caveats in the warranty conditions.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CIBSE have been developing a design guide for a long time, but it is still not published.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GB clarified that MPC are not leading on the communication </w:t>
      </w:r>
      <w:proofErr w:type="spellStart"/>
      <w:r w:rsidRPr="002F7BFE">
        <w:rPr>
          <w:rFonts w:ascii="Calibri" w:eastAsia="Calibri" w:hAnsi="Calibri"/>
          <w:sz w:val="23"/>
          <w:szCs w:val="22"/>
          <w:lang w:eastAsia="en-US"/>
        </w:rPr>
        <w:t>workstream</w:t>
      </w:r>
      <w:proofErr w:type="spellEnd"/>
      <w:r w:rsidRPr="002F7BFE">
        <w:rPr>
          <w:rFonts w:ascii="Calibri" w:eastAsia="Calibri" w:hAnsi="Calibri"/>
          <w:sz w:val="23"/>
          <w:szCs w:val="22"/>
          <w:lang w:eastAsia="en-US"/>
        </w:rPr>
        <w:t xml:space="preserve"> entirely; they have a </w:t>
      </w:r>
      <w:proofErr w:type="spellStart"/>
      <w:r w:rsidRPr="002F7BFE">
        <w:rPr>
          <w:rFonts w:ascii="Calibri" w:eastAsia="Calibri" w:hAnsi="Calibri"/>
          <w:sz w:val="23"/>
          <w:szCs w:val="22"/>
          <w:lang w:eastAsia="en-US"/>
        </w:rPr>
        <w:t>Microgen</w:t>
      </w:r>
      <w:proofErr w:type="spellEnd"/>
      <w:r w:rsidRPr="002F7BFE">
        <w:rPr>
          <w:rFonts w:ascii="Calibri" w:eastAsia="Calibri" w:hAnsi="Calibri"/>
          <w:sz w:val="23"/>
          <w:szCs w:val="22"/>
          <w:lang w:eastAsia="en-US"/>
        </w:rPr>
        <w:t xml:space="preserve"> Messaging Group – </w:t>
      </w:r>
      <w:r w:rsidRPr="002F7BFE">
        <w:rPr>
          <w:rFonts w:ascii="Calibri" w:eastAsia="Calibri" w:hAnsi="Calibri"/>
          <w:b/>
          <w:sz w:val="23"/>
          <w:szCs w:val="22"/>
          <w:lang w:eastAsia="en-US"/>
        </w:rPr>
        <w:t>*Action GB</w:t>
      </w:r>
      <w:r w:rsidRPr="002F7BFE">
        <w:rPr>
          <w:rFonts w:ascii="Calibri" w:eastAsia="Calibri" w:hAnsi="Calibri"/>
          <w:sz w:val="23"/>
          <w:szCs w:val="22"/>
          <w:lang w:eastAsia="en-US"/>
        </w:rPr>
        <w:t xml:space="preserve"> to share minutes of that meeting</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KW mentioned that CIPHE are starting a new RE group, with the aim of informing the public. </w:t>
      </w:r>
    </w:p>
    <w:p w:rsidR="002F7BFE" w:rsidRPr="002F7BFE" w:rsidRDefault="002F7BFE" w:rsidP="006B6041">
      <w:pPr>
        <w:keepNext/>
        <w:keepLines/>
        <w:numPr>
          <w:ilvl w:val="0"/>
          <w:numId w:val="11"/>
        </w:numPr>
        <w:spacing w:before="480" w:after="120" w:line="276" w:lineRule="auto"/>
        <w:ind w:left="369" w:hanging="369"/>
        <w:outlineLvl w:val="2"/>
        <w:rPr>
          <w:rFonts w:ascii="Cambria" w:hAnsi="Cambria"/>
          <w:b/>
          <w:bCs/>
          <w:color w:val="00477F"/>
          <w:sz w:val="24"/>
          <w:szCs w:val="22"/>
          <w:lang w:eastAsia="en-US"/>
        </w:rPr>
      </w:pPr>
      <w:proofErr w:type="spellStart"/>
      <w:r w:rsidRPr="002F7BFE">
        <w:rPr>
          <w:rFonts w:ascii="Cambria" w:hAnsi="Cambria"/>
          <w:b/>
          <w:bCs/>
          <w:color w:val="00477F"/>
          <w:sz w:val="24"/>
          <w:szCs w:val="22"/>
          <w:lang w:eastAsia="en-US"/>
        </w:rPr>
        <w:t>Microgen</w:t>
      </w:r>
      <w:proofErr w:type="spellEnd"/>
      <w:r w:rsidRPr="002F7BFE">
        <w:rPr>
          <w:rFonts w:ascii="Cambria" w:hAnsi="Cambria"/>
          <w:b/>
          <w:bCs/>
          <w:color w:val="00477F"/>
          <w:sz w:val="24"/>
          <w:szCs w:val="22"/>
          <w:lang w:eastAsia="en-US"/>
        </w:rPr>
        <w:t xml:space="preserve"> and Green Deal</w:t>
      </w:r>
    </w:p>
    <w:p w:rsidR="002F7BFE" w:rsidRPr="002F7BFE" w:rsidRDefault="002F7BFE" w:rsidP="002F7BFE">
      <w:pPr>
        <w:keepNext/>
        <w:keepLines/>
        <w:numPr>
          <w:ilvl w:val="1"/>
          <w:numId w:val="0"/>
        </w:numPr>
        <w:spacing w:before="200" w:after="80" w:line="276" w:lineRule="auto"/>
        <w:ind w:left="454" w:hanging="454"/>
        <w:outlineLvl w:val="3"/>
        <w:rPr>
          <w:rFonts w:ascii="Cambria" w:hAnsi="Cambria"/>
          <w:b/>
          <w:bCs/>
          <w:iCs/>
          <w:color w:val="00477F"/>
          <w:sz w:val="23"/>
          <w:szCs w:val="22"/>
          <w:lang w:eastAsia="en-US"/>
        </w:rPr>
      </w:pPr>
      <w:r w:rsidRPr="002F7BFE">
        <w:rPr>
          <w:rFonts w:ascii="Cambria" w:hAnsi="Cambria"/>
          <w:b/>
          <w:bCs/>
          <w:iCs/>
          <w:color w:val="00477F"/>
          <w:sz w:val="23"/>
          <w:szCs w:val="22"/>
          <w:lang w:eastAsia="en-US"/>
        </w:rPr>
        <w:t>RHI update</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Andrej Miller (DECC) provided the following update: </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RHI phase 1 debate happened in parliament, some formalities remain, but the scheme is expected to open for applications from next week</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 xml:space="preserve">Phase 2 is to be announced at the start of the </w:t>
      </w:r>
      <w:proofErr w:type="gramStart"/>
      <w:r w:rsidRPr="002F7BFE">
        <w:rPr>
          <w:rFonts w:ascii="Calibri" w:eastAsia="Calibri" w:hAnsi="Calibri"/>
          <w:sz w:val="23"/>
          <w:szCs w:val="22"/>
          <w:lang w:eastAsia="en-US"/>
        </w:rPr>
        <w:t>new year</w:t>
      </w:r>
      <w:proofErr w:type="gramEnd"/>
      <w:r w:rsidRPr="002F7BFE">
        <w:rPr>
          <w:rFonts w:ascii="Calibri" w:eastAsia="Calibri" w:hAnsi="Calibri"/>
          <w:sz w:val="23"/>
          <w:szCs w:val="22"/>
          <w:lang w:eastAsia="en-US"/>
        </w:rPr>
        <w:t xml:space="preserve">, but could be delayed beyond October 2012; the consultation is to be published before the end of the year. It is highly unlikely that it will be a 20yr payment, because people move more often than once in 20yrs. 10yrs is envisaged to be the maximum, and the entire scheme will be smaller; because of this, </w:t>
      </w:r>
      <w:proofErr w:type="spellStart"/>
      <w:r w:rsidRPr="002F7BFE">
        <w:rPr>
          <w:rFonts w:ascii="Calibri" w:eastAsia="Calibri" w:hAnsi="Calibri"/>
          <w:sz w:val="23"/>
          <w:szCs w:val="22"/>
          <w:lang w:eastAsia="en-US"/>
        </w:rPr>
        <w:t>Govmt</w:t>
      </w:r>
      <w:proofErr w:type="spellEnd"/>
      <w:r w:rsidRPr="002F7BFE">
        <w:rPr>
          <w:rFonts w:ascii="Calibri" w:eastAsia="Calibri" w:hAnsi="Calibri"/>
          <w:sz w:val="23"/>
          <w:szCs w:val="22"/>
          <w:lang w:eastAsia="en-US"/>
        </w:rPr>
        <w:t xml:space="preserve"> is less concerned about warranties and maintenance, or about metering, which will not be mandatory. </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 xml:space="preserve">DECC is also sceptical whether they should still give return on investment figures. </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 xml:space="preserve">A question is how it will be paid out. DECC are leaning towards making the scheme fairly simple, e.g. fixed, grant-like payment rather than a per kWh tariff. </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 xml:space="preserve">AM requested the group to consider sharing market development predictions with DECC. Even if just informed estimates, industry input would still be useful, as there is </w:t>
      </w:r>
      <w:r w:rsidRPr="002F7BFE">
        <w:rPr>
          <w:rFonts w:ascii="Calibri" w:eastAsia="Calibri" w:hAnsi="Calibri"/>
          <w:sz w:val="23"/>
          <w:szCs w:val="22"/>
          <w:lang w:eastAsia="en-US"/>
        </w:rPr>
        <w:lastRenderedPageBreak/>
        <w:t xml:space="preserve">currently no clear understanding of the market. Seeing future trends could help prevent fast-track reviews as with </w:t>
      </w:r>
      <w:proofErr w:type="spellStart"/>
      <w:r w:rsidRPr="002F7BFE">
        <w:rPr>
          <w:rFonts w:ascii="Calibri" w:eastAsia="Calibri" w:hAnsi="Calibri"/>
          <w:sz w:val="23"/>
          <w:szCs w:val="22"/>
          <w:lang w:eastAsia="en-US"/>
        </w:rPr>
        <w:t>FiTs</w:t>
      </w:r>
      <w:proofErr w:type="spellEnd"/>
      <w:r w:rsidRPr="002F7BFE">
        <w:rPr>
          <w:rFonts w:ascii="Calibri" w:eastAsia="Calibri" w:hAnsi="Calibri"/>
          <w:sz w:val="23"/>
          <w:szCs w:val="22"/>
          <w:lang w:eastAsia="en-US"/>
        </w:rPr>
        <w:t xml:space="preserve">. Particularly, information would be useful on the projected increase in installations due to the RHI.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KB responded that 2 years ago BEAMA provided figures for up to 2020 (as part of the Hea</w:t>
      </w:r>
      <w:r w:rsidRPr="002F7BFE">
        <w:rPr>
          <w:rFonts w:ascii="Calibri" w:eastAsia="Calibri" w:hAnsi="Calibri"/>
          <w:sz w:val="23"/>
          <w:szCs w:val="22"/>
          <w:lang w:eastAsia="en-US"/>
        </w:rPr>
        <w:softHyphen/>
        <w:t xml:space="preserve">ting and Hot Water Taskforce 2020 roadmap); basis is always the boiler (&amp; electric heating) market, and predictions are made for how this market will transform in a realistic way.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BA added that biomass boilers above 100kW now sell even without RHI; hence it was difficult to engage manufacturers in MCS because it’s not seen as necessary.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MCS registrations can also help detecting trends. E.g., they showed solar collector installers switching to PV, and the total number of installers growing by a factor of 10. KB added that for heat pumps, the skills required to install are very different (than for boilers), so there is not installer community that could easily switch.  A concern is companies registering installations late or re-commissioning installations under MCS to tap into RHI funding.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NH added that for long-term predictions, the number of training courses and competencies could also be used. On heat pumps, there were very few courses so far within the national skills academy, because of the insecurity around the RHI.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It was also mentioned that the RHPP scheme is currently underspend by £9m, and Jo </w:t>
      </w:r>
      <w:proofErr w:type="spellStart"/>
      <w:r w:rsidRPr="002F7BFE">
        <w:rPr>
          <w:rFonts w:ascii="Calibri" w:eastAsia="Calibri" w:hAnsi="Calibri"/>
          <w:sz w:val="23"/>
          <w:szCs w:val="22"/>
          <w:lang w:eastAsia="en-US"/>
        </w:rPr>
        <w:t>Greasley</w:t>
      </w:r>
      <w:proofErr w:type="spellEnd"/>
      <w:r w:rsidRPr="002F7BFE">
        <w:rPr>
          <w:rFonts w:ascii="Calibri" w:eastAsia="Calibri" w:hAnsi="Calibri"/>
          <w:sz w:val="23"/>
          <w:szCs w:val="22"/>
          <w:lang w:eastAsia="en-US"/>
        </w:rPr>
        <w:t xml:space="preserve"> and Neil Witney are encouraging installers to implement jobs. The question was raised whether RHPP would roll over into the next FY, or whether any leftover funds would just go back to the Treasury. It would make sense to extend RHPP until the delayed RHI comes in. </w:t>
      </w:r>
    </w:p>
    <w:p w:rsidR="002F7BFE" w:rsidRPr="002F7BFE" w:rsidRDefault="002F7BFE" w:rsidP="002F7BFE">
      <w:pPr>
        <w:keepNext/>
        <w:keepLines/>
        <w:numPr>
          <w:ilvl w:val="1"/>
          <w:numId w:val="0"/>
        </w:numPr>
        <w:spacing w:before="200" w:after="80" w:line="276" w:lineRule="auto"/>
        <w:ind w:left="454" w:hanging="454"/>
        <w:outlineLvl w:val="3"/>
        <w:rPr>
          <w:rFonts w:ascii="Cambria" w:hAnsi="Cambria"/>
          <w:b/>
          <w:bCs/>
          <w:iCs/>
          <w:color w:val="00477F"/>
          <w:sz w:val="23"/>
          <w:szCs w:val="22"/>
          <w:lang w:eastAsia="en-US"/>
        </w:rPr>
      </w:pPr>
      <w:r w:rsidRPr="002F7BFE">
        <w:rPr>
          <w:rFonts w:ascii="Cambria" w:hAnsi="Cambria"/>
          <w:b/>
          <w:bCs/>
          <w:iCs/>
          <w:color w:val="00477F"/>
          <w:sz w:val="23"/>
          <w:szCs w:val="22"/>
          <w:lang w:eastAsia="en-US"/>
        </w:rPr>
        <w:t>Green Deal</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It has now been clarified that bodies currently certifying for MCS or </w:t>
      </w:r>
      <w:proofErr w:type="spellStart"/>
      <w:r w:rsidRPr="002F7BFE">
        <w:rPr>
          <w:rFonts w:ascii="Calibri" w:eastAsia="Calibri" w:hAnsi="Calibri"/>
          <w:sz w:val="23"/>
          <w:szCs w:val="22"/>
          <w:lang w:eastAsia="en-US"/>
        </w:rPr>
        <w:t>GasSafe</w:t>
      </w:r>
      <w:proofErr w:type="spellEnd"/>
      <w:r w:rsidRPr="002F7BFE">
        <w:rPr>
          <w:rFonts w:ascii="Calibri" w:eastAsia="Calibri" w:hAnsi="Calibri"/>
          <w:sz w:val="23"/>
          <w:szCs w:val="22"/>
          <w:lang w:eastAsia="en-US"/>
        </w:rPr>
        <w:t xml:space="preserve"> don’t need to be accredited again for GD </w:t>
      </w:r>
      <w:proofErr w:type="spellStart"/>
      <w:r w:rsidRPr="002F7BFE">
        <w:rPr>
          <w:rFonts w:ascii="Calibri" w:eastAsia="Calibri" w:hAnsi="Calibri"/>
          <w:sz w:val="23"/>
          <w:szCs w:val="22"/>
          <w:lang w:eastAsia="en-US"/>
        </w:rPr>
        <w:t>microgen</w:t>
      </w:r>
      <w:proofErr w:type="spellEnd"/>
      <w:r w:rsidRPr="002F7BFE">
        <w:rPr>
          <w:rFonts w:ascii="Calibri" w:eastAsia="Calibri" w:hAnsi="Calibri"/>
          <w:sz w:val="23"/>
          <w:szCs w:val="22"/>
          <w:lang w:eastAsia="en-US"/>
        </w:rPr>
        <w:t xml:space="preserve"> or heating work, respectively.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There are some additional requirements for GD installers on top of MCS, mostly adminis</w:t>
      </w:r>
      <w:r w:rsidRPr="002F7BFE">
        <w:rPr>
          <w:rFonts w:ascii="Calibri" w:eastAsia="Calibri" w:hAnsi="Calibri"/>
          <w:sz w:val="23"/>
          <w:szCs w:val="22"/>
          <w:lang w:eastAsia="en-US"/>
        </w:rPr>
        <w:softHyphen/>
        <w:t xml:space="preserve">trative; PR explained that he is preparing a briefing paper for the GD team explaining that the certification regime underpinning RHI should be good enough for GD; </w:t>
      </w:r>
      <w:r w:rsidRPr="002F7BFE">
        <w:rPr>
          <w:rFonts w:ascii="Calibri" w:eastAsia="Calibri" w:hAnsi="Calibri"/>
          <w:b/>
          <w:sz w:val="23"/>
          <w:szCs w:val="22"/>
          <w:lang w:eastAsia="en-US"/>
        </w:rPr>
        <w:t>*Action PR</w:t>
      </w:r>
      <w:r w:rsidRPr="002F7BFE">
        <w:rPr>
          <w:rFonts w:ascii="Calibri" w:eastAsia="Calibri" w:hAnsi="Calibri"/>
          <w:sz w:val="23"/>
          <w:szCs w:val="22"/>
          <w:lang w:eastAsia="en-US"/>
        </w:rPr>
        <w:t xml:space="preserve"> to send out briefing note</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There was debate about individual </w:t>
      </w:r>
      <w:proofErr w:type="spellStart"/>
      <w:r w:rsidRPr="002F7BFE">
        <w:rPr>
          <w:rFonts w:ascii="Calibri" w:eastAsia="Calibri" w:hAnsi="Calibri"/>
          <w:sz w:val="23"/>
          <w:szCs w:val="22"/>
          <w:lang w:eastAsia="en-US"/>
        </w:rPr>
        <w:t>vs</w:t>
      </w:r>
      <w:proofErr w:type="spellEnd"/>
      <w:r w:rsidRPr="002F7BFE">
        <w:rPr>
          <w:rFonts w:ascii="Calibri" w:eastAsia="Calibri" w:hAnsi="Calibri"/>
          <w:sz w:val="23"/>
          <w:szCs w:val="22"/>
          <w:lang w:eastAsia="en-US"/>
        </w:rPr>
        <w:t xml:space="preserve"> company-level competencies. In summary: </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 xml:space="preserve">A one-man installer company needs to be individually qualified in all works covered. </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 xml:space="preserve">In larger companies, operatives can share competencies among them. </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GR and NH are looking at all QCFs, NOSs and CPSs to see what the actual competency requirements are for certain jobs, to extract these and out them into MCS as company competency criteria. Individuals can go through the NOS route or be or assessed based on past experience.</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 xml:space="preserve">The MCS Microgeneration Installation Standard (MIS) Appendix A is about the individual, based on QCF units for each technology, which took a long time to develop, but it is a company’s responsibility to ensure that enough operatives are trained to do </w:t>
      </w:r>
      <w:r w:rsidRPr="002F7BFE">
        <w:rPr>
          <w:rFonts w:ascii="Calibri" w:eastAsia="Calibri" w:hAnsi="Calibri"/>
          <w:sz w:val="23"/>
          <w:szCs w:val="22"/>
          <w:lang w:eastAsia="en-US"/>
        </w:rPr>
        <w:lastRenderedPageBreak/>
        <w:t xml:space="preserve">all installations competently. Supervisors can only oversee a number of workers in one local area. </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Personal installer competencies will have be developed for EU directive 2009/28/EC, coming into force in April 2012. MCS can be used to implement this, but it was emphasised that MCS, analogue to e.g. ISO 9001, can be part of the compliance regime but not show individual compliance in itself. NH mentioned that employers are requesting more clarity on the deadline and the necessary steps to comply with 2009/28/EC Annex 4 (Certification of Installers).</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proofErr w:type="spellStart"/>
      <w:r w:rsidRPr="002F7BFE">
        <w:rPr>
          <w:rFonts w:ascii="Calibri" w:eastAsia="Calibri" w:hAnsi="Calibri"/>
          <w:sz w:val="23"/>
          <w:szCs w:val="22"/>
          <w:lang w:eastAsia="en-US"/>
        </w:rPr>
        <w:t>BMcG</w:t>
      </w:r>
      <w:proofErr w:type="spellEnd"/>
      <w:r w:rsidRPr="002F7BFE">
        <w:rPr>
          <w:rFonts w:ascii="Calibri" w:eastAsia="Calibri" w:hAnsi="Calibri"/>
          <w:sz w:val="23"/>
          <w:szCs w:val="22"/>
          <w:lang w:eastAsia="en-US"/>
        </w:rPr>
        <w:t xml:space="preserve"> added that an independent expert has just been commissioned to look into this issue. He will gather views from involved parties, e.g. the </w:t>
      </w:r>
      <w:proofErr w:type="spellStart"/>
      <w:r w:rsidRPr="002F7BFE">
        <w:rPr>
          <w:rFonts w:ascii="Calibri" w:eastAsia="Calibri" w:hAnsi="Calibri"/>
          <w:sz w:val="23"/>
          <w:szCs w:val="22"/>
          <w:lang w:eastAsia="en-US"/>
        </w:rPr>
        <w:t>SummitSkills</w:t>
      </w:r>
      <w:proofErr w:type="spellEnd"/>
      <w:r w:rsidRPr="002F7BFE">
        <w:rPr>
          <w:rFonts w:ascii="Calibri" w:eastAsia="Calibri" w:hAnsi="Calibri"/>
          <w:sz w:val="23"/>
          <w:szCs w:val="22"/>
          <w:lang w:eastAsia="en-US"/>
        </w:rPr>
        <w:t xml:space="preserve"> Building Services Engineering (BSE) Competence Advisory Group. </w:t>
      </w:r>
    </w:p>
    <w:p w:rsidR="002F7BFE" w:rsidRPr="002F7BFE" w:rsidRDefault="002F7BFE" w:rsidP="006B6041">
      <w:pPr>
        <w:keepNext/>
        <w:keepLines/>
        <w:numPr>
          <w:ilvl w:val="0"/>
          <w:numId w:val="12"/>
        </w:numPr>
        <w:spacing w:before="480" w:after="120" w:line="276" w:lineRule="auto"/>
        <w:ind w:left="369" w:hanging="369"/>
        <w:outlineLvl w:val="2"/>
        <w:rPr>
          <w:rFonts w:ascii="Cambria" w:hAnsi="Cambria"/>
          <w:b/>
          <w:bCs/>
          <w:color w:val="00477F"/>
          <w:sz w:val="24"/>
          <w:szCs w:val="22"/>
          <w:lang w:eastAsia="en-US"/>
        </w:rPr>
      </w:pPr>
      <w:r w:rsidRPr="002F7BFE">
        <w:rPr>
          <w:rFonts w:ascii="Cambria" w:hAnsi="Cambria"/>
          <w:b/>
          <w:bCs/>
          <w:color w:val="00477F"/>
          <w:sz w:val="24"/>
          <w:szCs w:val="22"/>
          <w:lang w:eastAsia="en-US"/>
        </w:rPr>
        <w:t xml:space="preserve">Other </w:t>
      </w:r>
      <w:proofErr w:type="spellStart"/>
      <w:r w:rsidRPr="002F7BFE">
        <w:rPr>
          <w:rFonts w:ascii="Cambria" w:hAnsi="Cambria"/>
          <w:b/>
          <w:bCs/>
          <w:color w:val="00477F"/>
          <w:sz w:val="24"/>
          <w:szCs w:val="22"/>
          <w:lang w:eastAsia="en-US"/>
        </w:rPr>
        <w:t>workstream</w:t>
      </w:r>
      <w:proofErr w:type="spellEnd"/>
      <w:r w:rsidRPr="002F7BFE">
        <w:rPr>
          <w:rFonts w:ascii="Cambria" w:hAnsi="Cambria"/>
          <w:b/>
          <w:bCs/>
          <w:color w:val="00477F"/>
          <w:sz w:val="24"/>
          <w:szCs w:val="22"/>
          <w:lang w:eastAsia="en-US"/>
        </w:rPr>
        <w:t xml:space="preserve"> updates</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proofErr w:type="spellStart"/>
      <w:r w:rsidRPr="002F7BFE">
        <w:rPr>
          <w:rFonts w:ascii="Calibri" w:eastAsia="Calibri" w:hAnsi="Calibri"/>
          <w:sz w:val="23"/>
          <w:szCs w:val="22"/>
          <w:lang w:eastAsia="en-US"/>
        </w:rPr>
        <w:t>Taskgroup</w:t>
      </w:r>
      <w:proofErr w:type="spellEnd"/>
      <w:r w:rsidRPr="002F7BFE">
        <w:rPr>
          <w:rFonts w:ascii="Calibri" w:eastAsia="Calibri" w:hAnsi="Calibri"/>
          <w:sz w:val="23"/>
          <w:szCs w:val="22"/>
          <w:lang w:eastAsia="en-US"/>
        </w:rPr>
        <w:t xml:space="preserve"> 2, EPCs: PR updated the group that Cabinet write-round is pending for the SAP consultation document, and it is expected to come out in 2-3 weeks. Write-round is typically required for any policy document, but hadn’t been done for SAP previously, because it was tied into the building </w:t>
      </w:r>
      <w:proofErr w:type="spellStart"/>
      <w:r w:rsidRPr="002F7BFE">
        <w:rPr>
          <w:rFonts w:ascii="Calibri" w:eastAsia="Calibri" w:hAnsi="Calibri"/>
          <w:sz w:val="23"/>
          <w:szCs w:val="22"/>
          <w:lang w:eastAsia="en-US"/>
        </w:rPr>
        <w:t>regs</w:t>
      </w:r>
      <w:proofErr w:type="spellEnd"/>
      <w:r w:rsidRPr="002F7BFE">
        <w:rPr>
          <w:rFonts w:ascii="Calibri" w:eastAsia="Calibri" w:hAnsi="Calibri"/>
          <w:sz w:val="23"/>
          <w:szCs w:val="22"/>
          <w:lang w:eastAsia="en-US"/>
        </w:rPr>
        <w:t xml:space="preserve"> consultation. The consultation will run the usual 12 weeks. The building </w:t>
      </w:r>
      <w:proofErr w:type="spellStart"/>
      <w:r w:rsidRPr="002F7BFE">
        <w:rPr>
          <w:rFonts w:ascii="Calibri" w:eastAsia="Calibri" w:hAnsi="Calibri"/>
          <w:sz w:val="23"/>
          <w:szCs w:val="22"/>
          <w:lang w:eastAsia="en-US"/>
        </w:rPr>
        <w:t>regs</w:t>
      </w:r>
      <w:proofErr w:type="spellEnd"/>
      <w:r w:rsidRPr="002F7BFE">
        <w:rPr>
          <w:rFonts w:ascii="Calibri" w:eastAsia="Calibri" w:hAnsi="Calibri"/>
          <w:sz w:val="23"/>
          <w:szCs w:val="22"/>
          <w:lang w:eastAsia="en-US"/>
        </w:rPr>
        <w:t xml:space="preserve"> consultation will come out end of this year or in the </w:t>
      </w:r>
      <w:proofErr w:type="gramStart"/>
      <w:r w:rsidRPr="002F7BFE">
        <w:rPr>
          <w:rFonts w:ascii="Calibri" w:eastAsia="Calibri" w:hAnsi="Calibri"/>
          <w:sz w:val="23"/>
          <w:szCs w:val="22"/>
          <w:lang w:eastAsia="en-US"/>
        </w:rPr>
        <w:t>new year</w:t>
      </w:r>
      <w:proofErr w:type="gramEnd"/>
      <w:r w:rsidRPr="002F7BFE">
        <w:rPr>
          <w:rFonts w:ascii="Calibri" w:eastAsia="Calibri" w:hAnsi="Calibri"/>
          <w:sz w:val="23"/>
          <w:szCs w:val="22"/>
          <w:lang w:eastAsia="en-US"/>
        </w:rPr>
        <w:t xml:space="preserve">. </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sz w:val="23"/>
          <w:szCs w:val="22"/>
          <w:lang w:eastAsia="en-US"/>
        </w:rPr>
        <w:t xml:space="preserve">Some improvements to SAP are already in train, e.g. giving credit for controls, plus BRE are working on the benefits of low-temperature systems, recognising that building </w:t>
      </w:r>
      <w:proofErr w:type="spellStart"/>
      <w:r w:rsidRPr="002F7BFE">
        <w:rPr>
          <w:rFonts w:ascii="Calibri" w:eastAsia="Calibri" w:hAnsi="Calibri"/>
          <w:sz w:val="23"/>
          <w:szCs w:val="22"/>
          <w:lang w:eastAsia="en-US"/>
        </w:rPr>
        <w:t>regs</w:t>
      </w:r>
      <w:proofErr w:type="spellEnd"/>
      <w:r w:rsidRPr="002F7BFE">
        <w:rPr>
          <w:rFonts w:ascii="Calibri" w:eastAsia="Calibri" w:hAnsi="Calibri"/>
          <w:sz w:val="23"/>
          <w:szCs w:val="22"/>
          <w:lang w:eastAsia="en-US"/>
        </w:rPr>
        <w:t xml:space="preserve"> want to encourage houses to become “heat pump ready”. </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r w:rsidRPr="002F7BFE">
        <w:rPr>
          <w:rFonts w:ascii="Calibri" w:eastAsia="Calibri" w:hAnsi="Calibri"/>
          <w:b/>
          <w:sz w:val="23"/>
          <w:szCs w:val="22"/>
          <w:lang w:eastAsia="en-US"/>
        </w:rPr>
        <w:t>*Action GB</w:t>
      </w:r>
      <w:r w:rsidRPr="002F7BFE">
        <w:rPr>
          <w:rFonts w:ascii="Calibri" w:eastAsia="Calibri" w:hAnsi="Calibri"/>
          <w:sz w:val="23"/>
          <w:szCs w:val="22"/>
          <w:lang w:eastAsia="en-US"/>
        </w:rPr>
        <w:t xml:space="preserve"> will put some points for the consultation onto Huddle, which could be used as a basis for associations’ individual responses. </w:t>
      </w:r>
    </w:p>
    <w:p w:rsidR="002F7BFE" w:rsidRPr="002F7BFE" w:rsidRDefault="002F7BFE" w:rsidP="006B6041">
      <w:pPr>
        <w:numPr>
          <w:ilvl w:val="1"/>
          <w:numId w:val="9"/>
        </w:numPr>
        <w:spacing w:after="120" w:line="276" w:lineRule="auto"/>
        <w:ind w:left="1077" w:hanging="397"/>
        <w:rPr>
          <w:rFonts w:ascii="Calibri" w:eastAsia="Calibri" w:hAnsi="Calibri"/>
          <w:sz w:val="23"/>
          <w:szCs w:val="22"/>
          <w:lang w:eastAsia="en-US"/>
        </w:rPr>
      </w:pPr>
      <w:proofErr w:type="spellStart"/>
      <w:r w:rsidRPr="002F7BFE">
        <w:rPr>
          <w:rFonts w:ascii="Calibri" w:eastAsia="Calibri" w:hAnsi="Calibri"/>
          <w:sz w:val="23"/>
          <w:szCs w:val="22"/>
          <w:lang w:eastAsia="en-US"/>
        </w:rPr>
        <w:t>RdSAP</w:t>
      </w:r>
      <w:proofErr w:type="spellEnd"/>
      <w:r w:rsidRPr="002F7BFE">
        <w:rPr>
          <w:rFonts w:ascii="Calibri" w:eastAsia="Calibri" w:hAnsi="Calibri"/>
          <w:sz w:val="23"/>
          <w:szCs w:val="22"/>
          <w:lang w:eastAsia="en-US"/>
        </w:rPr>
        <w:t xml:space="preserve"> will be used for EPCs underpinning GD, and there is </w:t>
      </w:r>
      <w:proofErr w:type="spellStart"/>
      <w:r w:rsidRPr="002F7BFE">
        <w:rPr>
          <w:rFonts w:ascii="Calibri" w:eastAsia="Calibri" w:hAnsi="Calibri"/>
          <w:sz w:val="23"/>
          <w:szCs w:val="22"/>
          <w:lang w:eastAsia="en-US"/>
        </w:rPr>
        <w:t>ongoing</w:t>
      </w:r>
      <w:proofErr w:type="spellEnd"/>
      <w:r w:rsidRPr="002F7BFE">
        <w:rPr>
          <w:rFonts w:ascii="Calibri" w:eastAsia="Calibri" w:hAnsi="Calibri"/>
          <w:sz w:val="23"/>
          <w:szCs w:val="22"/>
          <w:lang w:eastAsia="en-US"/>
        </w:rPr>
        <w:t xml:space="preserve"> debate whether SAP could or should be used as a compliance tool.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proofErr w:type="spellStart"/>
      <w:r w:rsidRPr="002F7BFE">
        <w:rPr>
          <w:rFonts w:ascii="Calibri" w:eastAsia="Calibri" w:hAnsi="Calibri"/>
          <w:sz w:val="23"/>
          <w:szCs w:val="22"/>
          <w:lang w:eastAsia="en-US"/>
        </w:rPr>
        <w:t>Taskgroup</w:t>
      </w:r>
      <w:proofErr w:type="spellEnd"/>
      <w:r w:rsidRPr="002F7BFE">
        <w:rPr>
          <w:rFonts w:ascii="Calibri" w:eastAsia="Calibri" w:hAnsi="Calibri"/>
          <w:sz w:val="23"/>
          <w:szCs w:val="22"/>
          <w:lang w:eastAsia="en-US"/>
        </w:rPr>
        <w:t xml:space="preserve"> 3, Skills, </w:t>
      </w:r>
      <w:proofErr w:type="gramStart"/>
      <w:r w:rsidRPr="002F7BFE">
        <w:rPr>
          <w:rFonts w:ascii="Calibri" w:eastAsia="Calibri" w:hAnsi="Calibri"/>
          <w:sz w:val="23"/>
          <w:szCs w:val="22"/>
          <w:lang w:eastAsia="en-US"/>
        </w:rPr>
        <w:t>e</w:t>
      </w:r>
      <w:proofErr w:type="gramEnd"/>
      <w:r w:rsidRPr="002F7BFE">
        <w:rPr>
          <w:rFonts w:ascii="Calibri" w:eastAsia="Calibri" w:hAnsi="Calibri"/>
          <w:sz w:val="23"/>
          <w:szCs w:val="22"/>
          <w:lang w:eastAsia="en-US"/>
        </w:rPr>
        <w:t xml:space="preserve">.: NH updated the group that meetings are </w:t>
      </w:r>
      <w:proofErr w:type="spellStart"/>
      <w:r w:rsidRPr="002F7BFE">
        <w:rPr>
          <w:rFonts w:ascii="Calibri" w:eastAsia="Calibri" w:hAnsi="Calibri"/>
          <w:sz w:val="23"/>
          <w:szCs w:val="22"/>
          <w:lang w:eastAsia="en-US"/>
        </w:rPr>
        <w:t>ongoing</w:t>
      </w:r>
      <w:proofErr w:type="spellEnd"/>
      <w:r w:rsidRPr="002F7BFE">
        <w:rPr>
          <w:rFonts w:ascii="Calibri" w:eastAsia="Calibri" w:hAnsi="Calibri"/>
          <w:sz w:val="23"/>
          <w:szCs w:val="22"/>
          <w:lang w:eastAsia="en-US"/>
        </w:rPr>
        <w:t xml:space="preserve"> with BIS and MCS to develop initial framework training courses. Input from this group would be welcomed; on the 3</w:t>
      </w:r>
      <w:r w:rsidRPr="002F7BFE">
        <w:rPr>
          <w:rFonts w:ascii="Calibri" w:eastAsia="Calibri" w:hAnsi="Calibri"/>
          <w:sz w:val="23"/>
          <w:szCs w:val="22"/>
          <w:vertAlign w:val="superscript"/>
          <w:lang w:eastAsia="en-US"/>
        </w:rPr>
        <w:t>rd</w:t>
      </w:r>
      <w:r w:rsidRPr="002F7BFE">
        <w:rPr>
          <w:rFonts w:ascii="Calibri" w:eastAsia="Calibri" w:hAnsi="Calibri"/>
          <w:sz w:val="23"/>
          <w:szCs w:val="22"/>
          <w:lang w:eastAsia="en-US"/>
        </w:rPr>
        <w:t xml:space="preserve"> outcome, GD assessors, </w:t>
      </w:r>
      <w:proofErr w:type="spellStart"/>
      <w:r w:rsidRPr="002F7BFE">
        <w:rPr>
          <w:rFonts w:ascii="Calibri" w:eastAsia="Calibri" w:hAnsi="Calibri"/>
          <w:sz w:val="23"/>
          <w:szCs w:val="22"/>
          <w:lang w:eastAsia="en-US"/>
        </w:rPr>
        <w:t>SummitSkills</w:t>
      </w:r>
      <w:proofErr w:type="spellEnd"/>
      <w:r w:rsidRPr="002F7BFE">
        <w:rPr>
          <w:rFonts w:ascii="Calibri" w:eastAsia="Calibri" w:hAnsi="Calibri"/>
          <w:sz w:val="23"/>
          <w:szCs w:val="22"/>
          <w:lang w:eastAsia="en-US"/>
        </w:rPr>
        <w:t xml:space="preserve"> is working closely with Asset Skills to finish the Green Deal assessor NOS by February/March, with training to start in April.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proofErr w:type="spellStart"/>
      <w:r w:rsidRPr="002F7BFE">
        <w:rPr>
          <w:rFonts w:ascii="Calibri" w:eastAsia="Calibri" w:hAnsi="Calibri"/>
          <w:sz w:val="23"/>
          <w:szCs w:val="22"/>
          <w:lang w:eastAsia="en-US"/>
        </w:rPr>
        <w:t>Taskgroup</w:t>
      </w:r>
      <w:proofErr w:type="spellEnd"/>
      <w:r w:rsidRPr="002F7BFE">
        <w:rPr>
          <w:rFonts w:ascii="Calibri" w:eastAsia="Calibri" w:hAnsi="Calibri"/>
          <w:sz w:val="23"/>
          <w:szCs w:val="22"/>
          <w:lang w:eastAsia="en-US"/>
        </w:rPr>
        <w:t xml:space="preserve"> 5, a.: DM said that a systems approach is now taken with MIS 3005 training, which at the core is heat pump training, but also includes heat loss calculations and controls. PR added that DECC are also commissioning some R&amp;D work around streams a. and b.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proofErr w:type="spellStart"/>
      <w:r w:rsidRPr="002F7BFE">
        <w:rPr>
          <w:rFonts w:ascii="Calibri" w:eastAsia="Calibri" w:hAnsi="Calibri"/>
          <w:sz w:val="23"/>
          <w:szCs w:val="22"/>
          <w:lang w:eastAsia="en-US"/>
        </w:rPr>
        <w:t>Overarchign</w:t>
      </w:r>
      <w:proofErr w:type="spellEnd"/>
      <w:r w:rsidRPr="002F7BFE">
        <w:rPr>
          <w:rFonts w:ascii="Calibri" w:eastAsia="Calibri" w:hAnsi="Calibri"/>
          <w:sz w:val="23"/>
          <w:szCs w:val="22"/>
          <w:lang w:eastAsia="en-US"/>
        </w:rPr>
        <w:t xml:space="preserve"> </w:t>
      </w:r>
      <w:proofErr w:type="spellStart"/>
      <w:r w:rsidRPr="002F7BFE">
        <w:rPr>
          <w:rFonts w:ascii="Calibri" w:eastAsia="Calibri" w:hAnsi="Calibri"/>
          <w:sz w:val="23"/>
          <w:szCs w:val="22"/>
          <w:lang w:eastAsia="en-US"/>
        </w:rPr>
        <w:t>Taskgroup</w:t>
      </w:r>
      <w:proofErr w:type="spellEnd"/>
      <w:r w:rsidRPr="002F7BFE">
        <w:rPr>
          <w:rFonts w:ascii="Calibri" w:eastAsia="Calibri" w:hAnsi="Calibri"/>
          <w:sz w:val="23"/>
          <w:szCs w:val="22"/>
          <w:lang w:eastAsia="en-US"/>
        </w:rPr>
        <w:t xml:space="preserve"> 2: Community Delivery: Alison Bailey is working on this now, </w:t>
      </w:r>
      <w:r w:rsidRPr="002F7BFE">
        <w:rPr>
          <w:rFonts w:ascii="Calibri" w:eastAsia="Calibri" w:hAnsi="Calibri"/>
          <w:b/>
          <w:sz w:val="23"/>
          <w:szCs w:val="22"/>
          <w:lang w:eastAsia="en-US"/>
        </w:rPr>
        <w:t>*Action PR</w:t>
      </w:r>
      <w:r w:rsidRPr="002F7BFE">
        <w:rPr>
          <w:rFonts w:ascii="Calibri" w:eastAsia="Calibri" w:hAnsi="Calibri"/>
          <w:sz w:val="23"/>
          <w:szCs w:val="22"/>
          <w:lang w:eastAsia="en-US"/>
        </w:rPr>
        <w:t xml:space="preserve"> will circulate an update. </w:t>
      </w:r>
    </w:p>
    <w:p w:rsidR="002F7BFE" w:rsidRPr="002F7BFE" w:rsidRDefault="002F7BFE" w:rsidP="002F7BFE">
      <w:pPr>
        <w:keepNext/>
        <w:keepLines/>
        <w:spacing w:before="480" w:after="120" w:line="276" w:lineRule="auto"/>
        <w:ind w:left="369" w:hanging="369"/>
        <w:outlineLvl w:val="2"/>
        <w:rPr>
          <w:rFonts w:ascii="Cambria" w:hAnsi="Cambria"/>
          <w:b/>
          <w:bCs/>
          <w:color w:val="00477F"/>
          <w:sz w:val="24"/>
          <w:szCs w:val="22"/>
          <w:lang w:eastAsia="en-US"/>
        </w:rPr>
      </w:pPr>
      <w:r w:rsidRPr="002F7BFE">
        <w:rPr>
          <w:rFonts w:ascii="Cambria" w:hAnsi="Cambria"/>
          <w:b/>
          <w:bCs/>
          <w:color w:val="00477F"/>
          <w:sz w:val="24"/>
          <w:szCs w:val="22"/>
          <w:lang w:eastAsia="en-US"/>
        </w:rPr>
        <w:t>AOB</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proofErr w:type="spellStart"/>
      <w:r w:rsidRPr="002F7BFE">
        <w:rPr>
          <w:rFonts w:ascii="Calibri" w:eastAsia="Calibri" w:hAnsi="Calibri"/>
          <w:sz w:val="23"/>
          <w:szCs w:val="22"/>
          <w:lang w:eastAsia="en-US"/>
        </w:rPr>
        <w:t>RenewableUK</w:t>
      </w:r>
      <w:proofErr w:type="spellEnd"/>
      <w:r w:rsidRPr="002F7BFE">
        <w:rPr>
          <w:rFonts w:ascii="Calibri" w:eastAsia="Calibri" w:hAnsi="Calibri"/>
          <w:sz w:val="23"/>
          <w:szCs w:val="22"/>
          <w:lang w:eastAsia="en-US"/>
        </w:rPr>
        <w:t xml:space="preserve"> are developing a medium scale wind generation standard, aspiring to become an international standard. The committee developing this is composed of manufacturers from across Europe; medium wind covers 200m² - 1000m² swept blade area, roughly </w:t>
      </w:r>
      <w:r w:rsidRPr="002F7BFE">
        <w:rPr>
          <w:rFonts w:ascii="Calibri" w:eastAsia="Calibri" w:hAnsi="Calibri"/>
          <w:sz w:val="23"/>
          <w:szCs w:val="22"/>
          <w:lang w:eastAsia="en-US"/>
        </w:rPr>
        <w:lastRenderedPageBreak/>
        <w:t xml:space="preserve">equivalent to 50 – 400kW; currently the interim standard is being finalised for submission to the </w:t>
      </w:r>
      <w:proofErr w:type="spellStart"/>
      <w:r w:rsidRPr="002F7BFE">
        <w:rPr>
          <w:rFonts w:ascii="Calibri" w:eastAsia="Calibri" w:hAnsi="Calibri"/>
          <w:sz w:val="23"/>
          <w:szCs w:val="22"/>
          <w:lang w:eastAsia="en-US"/>
        </w:rPr>
        <w:t>RenewableUK</w:t>
      </w:r>
      <w:proofErr w:type="spellEnd"/>
      <w:r w:rsidRPr="002F7BFE">
        <w:rPr>
          <w:rFonts w:ascii="Calibri" w:eastAsia="Calibri" w:hAnsi="Calibri"/>
          <w:sz w:val="23"/>
          <w:szCs w:val="22"/>
          <w:lang w:eastAsia="en-US"/>
        </w:rPr>
        <w:t xml:space="preserve"> board. </w:t>
      </w:r>
      <w:proofErr w:type="spellStart"/>
      <w:r w:rsidRPr="002F7BFE">
        <w:rPr>
          <w:rFonts w:ascii="Calibri" w:eastAsia="Calibri" w:hAnsi="Calibri"/>
          <w:sz w:val="23"/>
          <w:szCs w:val="22"/>
          <w:lang w:eastAsia="en-US"/>
        </w:rPr>
        <w:t>BMcG</w:t>
      </w:r>
      <w:proofErr w:type="spellEnd"/>
      <w:r w:rsidRPr="002F7BFE">
        <w:rPr>
          <w:rFonts w:ascii="Calibri" w:eastAsia="Calibri" w:hAnsi="Calibri"/>
          <w:sz w:val="23"/>
          <w:szCs w:val="22"/>
          <w:lang w:eastAsia="en-US"/>
        </w:rPr>
        <w:t xml:space="preserve"> added that MCS is getting engaged in this standard. </w:t>
      </w:r>
    </w:p>
    <w:p w:rsidR="002F7BFE" w:rsidRPr="002F7BFE" w:rsidRDefault="002F7BFE" w:rsidP="006B6041">
      <w:pPr>
        <w:numPr>
          <w:ilvl w:val="0"/>
          <w:numId w:val="9"/>
        </w:numPr>
        <w:spacing w:after="120" w:line="276" w:lineRule="auto"/>
        <w:ind w:left="511" w:hanging="284"/>
        <w:rPr>
          <w:rFonts w:ascii="Calibri" w:eastAsia="Calibri" w:hAnsi="Calibri"/>
          <w:sz w:val="23"/>
          <w:szCs w:val="22"/>
          <w:lang w:eastAsia="en-US"/>
        </w:rPr>
      </w:pPr>
      <w:r w:rsidRPr="002F7BFE">
        <w:rPr>
          <w:rFonts w:ascii="Calibri" w:eastAsia="Calibri" w:hAnsi="Calibri"/>
          <w:sz w:val="23"/>
          <w:szCs w:val="22"/>
          <w:lang w:eastAsia="en-US"/>
        </w:rPr>
        <w:t xml:space="preserve">The National Skills Academy has just published an Introduction to Environmental Technology Systems, </w:t>
      </w:r>
      <w:r w:rsidRPr="002F7BFE">
        <w:rPr>
          <w:rFonts w:ascii="Calibri" w:eastAsia="Calibri" w:hAnsi="Calibri"/>
          <w:b/>
          <w:sz w:val="23"/>
          <w:szCs w:val="22"/>
          <w:lang w:eastAsia="en-US"/>
        </w:rPr>
        <w:t>*Action NH</w:t>
      </w:r>
      <w:r w:rsidRPr="002F7BFE">
        <w:rPr>
          <w:rFonts w:ascii="Calibri" w:eastAsia="Calibri" w:hAnsi="Calibri"/>
          <w:sz w:val="23"/>
          <w:szCs w:val="22"/>
          <w:lang w:eastAsia="en-US"/>
        </w:rPr>
        <w:t xml:space="preserve"> to circulate an electronic copy</w:t>
      </w:r>
    </w:p>
    <w:p w:rsidR="002F7BFE" w:rsidRPr="002F7BFE" w:rsidRDefault="002F7BFE" w:rsidP="002F7BFE">
      <w:pPr>
        <w:keepNext/>
        <w:keepLines/>
        <w:spacing w:before="100" w:beforeAutospacing="1" w:after="240" w:line="276" w:lineRule="auto"/>
        <w:outlineLvl w:val="1"/>
        <w:rPr>
          <w:rFonts w:ascii="Cambria" w:hAnsi="Cambria"/>
          <w:b/>
          <w:bCs/>
          <w:color w:val="00477F"/>
          <w:sz w:val="28"/>
          <w:szCs w:val="26"/>
          <w:lang w:eastAsia="en-US"/>
        </w:rPr>
      </w:pPr>
      <w:r w:rsidRPr="002F7BFE">
        <w:rPr>
          <w:rFonts w:ascii="Cambria" w:hAnsi="Cambria"/>
          <w:b/>
          <w:bCs/>
          <w:color w:val="00477F"/>
          <w:sz w:val="28"/>
          <w:szCs w:val="26"/>
          <w:lang w:eastAsia="en-US"/>
        </w:rPr>
        <w:t>Summary of actions</w:t>
      </w:r>
    </w:p>
    <w:tbl>
      <w:tblPr>
        <w:tblW w:w="9299" w:type="dxa"/>
        <w:jc w:val="center"/>
        <w:tblBorders>
          <w:top w:val="single" w:sz="2" w:space="0" w:color="31313D"/>
          <w:left w:val="single" w:sz="2" w:space="0" w:color="31313D"/>
          <w:bottom w:val="single" w:sz="2" w:space="0" w:color="31313D"/>
          <w:right w:val="single" w:sz="2" w:space="0" w:color="31313D"/>
          <w:insideH w:val="single" w:sz="2" w:space="0" w:color="31313D"/>
          <w:insideV w:val="single" w:sz="2" w:space="0" w:color="31313D"/>
        </w:tblBorders>
        <w:tblCellMar>
          <w:top w:w="28" w:type="dxa"/>
          <w:bottom w:w="28" w:type="dxa"/>
        </w:tblCellMar>
        <w:tblLook w:val="00A0" w:firstRow="1" w:lastRow="0" w:firstColumn="1" w:lastColumn="0" w:noHBand="0" w:noVBand="0"/>
      </w:tblPr>
      <w:tblGrid>
        <w:gridCol w:w="921"/>
        <w:gridCol w:w="5093"/>
        <w:gridCol w:w="1313"/>
        <w:gridCol w:w="1972"/>
      </w:tblGrid>
      <w:tr w:rsidR="002F7BFE" w:rsidRPr="002F7BFE" w:rsidTr="001A05C0">
        <w:trPr>
          <w:jc w:val="center"/>
        </w:trPr>
        <w:tc>
          <w:tcPr>
            <w:tcW w:w="921" w:type="dxa"/>
            <w:shd w:val="clear" w:color="auto" w:fill="E6E6E6"/>
            <w:vAlign w:val="center"/>
          </w:tcPr>
          <w:p w:rsidR="002F7BFE" w:rsidRPr="002F7BFE" w:rsidRDefault="002F7BFE" w:rsidP="002F7BFE">
            <w:pPr>
              <w:spacing w:before="20" w:after="20" w:line="276" w:lineRule="auto"/>
              <w:rPr>
                <w:rFonts w:ascii="Calibri" w:eastAsia="Calibri" w:hAnsi="Calibri" w:cs="Calibri"/>
                <w:sz w:val="23"/>
                <w:szCs w:val="22"/>
                <w:lang w:eastAsia="en-US"/>
              </w:rPr>
            </w:pPr>
            <w:r w:rsidRPr="002F7BFE">
              <w:rPr>
                <w:rFonts w:ascii="Calibri" w:eastAsia="Calibri" w:hAnsi="Calibri" w:cs="Calibri"/>
                <w:b/>
                <w:sz w:val="23"/>
                <w:szCs w:val="22"/>
                <w:lang w:eastAsia="en-US"/>
              </w:rPr>
              <w:t>Section</w:t>
            </w:r>
          </w:p>
        </w:tc>
        <w:tc>
          <w:tcPr>
            <w:tcW w:w="5210" w:type="dxa"/>
            <w:shd w:val="clear" w:color="auto" w:fill="E6E6E6"/>
            <w:vAlign w:val="center"/>
          </w:tcPr>
          <w:p w:rsidR="002F7BFE" w:rsidRPr="002F7BFE" w:rsidRDefault="002F7BFE" w:rsidP="002F7BFE">
            <w:pPr>
              <w:spacing w:before="20" w:after="20" w:line="276" w:lineRule="auto"/>
              <w:rPr>
                <w:rFonts w:ascii="Calibri" w:eastAsia="Calibri" w:hAnsi="Calibri" w:cs="Calibri"/>
                <w:sz w:val="23"/>
                <w:szCs w:val="22"/>
                <w:lang w:eastAsia="en-US"/>
              </w:rPr>
            </w:pPr>
            <w:r w:rsidRPr="002F7BFE">
              <w:rPr>
                <w:rFonts w:ascii="Calibri" w:eastAsia="Calibri" w:hAnsi="Calibri" w:cs="Calibri"/>
                <w:b/>
                <w:sz w:val="23"/>
                <w:szCs w:val="22"/>
                <w:lang w:eastAsia="en-US"/>
              </w:rPr>
              <w:t>Action</w:t>
            </w:r>
          </w:p>
        </w:tc>
        <w:tc>
          <w:tcPr>
            <w:tcW w:w="1157" w:type="dxa"/>
            <w:shd w:val="clear" w:color="auto" w:fill="E6E6E6"/>
            <w:vAlign w:val="center"/>
          </w:tcPr>
          <w:p w:rsidR="002F7BFE" w:rsidRPr="002F7BFE" w:rsidRDefault="002F7BFE" w:rsidP="002F7BFE">
            <w:pPr>
              <w:spacing w:before="20" w:after="20" w:line="276" w:lineRule="auto"/>
              <w:rPr>
                <w:rFonts w:ascii="Calibri" w:eastAsia="Calibri" w:hAnsi="Calibri" w:cs="Calibri"/>
                <w:b/>
                <w:sz w:val="23"/>
                <w:szCs w:val="22"/>
                <w:lang w:eastAsia="en-US"/>
              </w:rPr>
            </w:pPr>
            <w:r w:rsidRPr="002F7BFE">
              <w:rPr>
                <w:rFonts w:ascii="Calibri" w:eastAsia="Calibri" w:hAnsi="Calibri" w:cs="Calibri"/>
                <w:b/>
                <w:sz w:val="23"/>
                <w:szCs w:val="22"/>
                <w:lang w:eastAsia="en-US"/>
              </w:rPr>
              <w:t>lead</w:t>
            </w:r>
          </w:p>
        </w:tc>
        <w:tc>
          <w:tcPr>
            <w:tcW w:w="2011" w:type="dxa"/>
            <w:shd w:val="clear" w:color="auto" w:fill="E6E6E6"/>
            <w:vAlign w:val="center"/>
          </w:tcPr>
          <w:p w:rsidR="002F7BFE" w:rsidRPr="002F7BFE" w:rsidRDefault="002F7BFE" w:rsidP="002F7BFE">
            <w:pPr>
              <w:spacing w:before="20" w:after="20" w:line="276" w:lineRule="auto"/>
              <w:rPr>
                <w:rFonts w:ascii="Calibri" w:eastAsia="Calibri" w:hAnsi="Calibri" w:cs="Calibri"/>
                <w:sz w:val="23"/>
                <w:szCs w:val="22"/>
                <w:lang w:eastAsia="en-US"/>
              </w:rPr>
            </w:pPr>
            <w:r w:rsidRPr="002F7BFE">
              <w:rPr>
                <w:rFonts w:ascii="Calibri" w:eastAsia="Calibri" w:hAnsi="Calibri" w:cs="Calibri"/>
                <w:sz w:val="23"/>
                <w:szCs w:val="22"/>
                <w:lang w:eastAsia="en-US"/>
              </w:rPr>
              <w:t>timing</w:t>
            </w:r>
          </w:p>
        </w:tc>
      </w:tr>
      <w:tr w:rsidR="002F7BFE" w:rsidRPr="002F7BFE" w:rsidTr="001A05C0">
        <w:trPr>
          <w:jc w:val="center"/>
        </w:trPr>
        <w:tc>
          <w:tcPr>
            <w:tcW w:w="921" w:type="dxa"/>
          </w:tcPr>
          <w:p w:rsidR="002F7BFE" w:rsidRPr="002F7BFE" w:rsidRDefault="002F7BFE" w:rsidP="002F7BFE">
            <w:pPr>
              <w:spacing w:before="20" w:after="20" w:line="276" w:lineRule="auto"/>
              <w:jc w:val="center"/>
              <w:rPr>
                <w:rFonts w:ascii="Calibri" w:eastAsia="Calibri" w:hAnsi="Calibri" w:cs="Calibri"/>
                <w:sz w:val="23"/>
                <w:szCs w:val="22"/>
                <w:lang w:eastAsia="en-US"/>
              </w:rPr>
            </w:pPr>
            <w:r w:rsidRPr="002F7BFE">
              <w:rPr>
                <w:rFonts w:ascii="Calibri" w:eastAsia="Calibri" w:hAnsi="Calibri" w:cs="Calibri"/>
                <w:sz w:val="23"/>
                <w:szCs w:val="22"/>
                <w:lang w:eastAsia="en-US"/>
              </w:rPr>
              <w:t>1</w:t>
            </w:r>
          </w:p>
        </w:tc>
        <w:tc>
          <w:tcPr>
            <w:tcW w:w="5210" w:type="dxa"/>
          </w:tcPr>
          <w:p w:rsidR="002F7BFE" w:rsidRPr="002F7BFE" w:rsidRDefault="002F7BFE" w:rsidP="002F7BFE">
            <w:pPr>
              <w:spacing w:before="20" w:after="20" w:line="276" w:lineRule="auto"/>
              <w:rPr>
                <w:rFonts w:ascii="Calibri" w:eastAsia="Calibri" w:hAnsi="Calibri" w:cs="Calibri"/>
                <w:sz w:val="23"/>
                <w:szCs w:val="22"/>
                <w:lang w:eastAsia="en-US"/>
              </w:rPr>
            </w:pPr>
            <w:r w:rsidRPr="002F7BFE">
              <w:rPr>
                <w:rFonts w:ascii="Calibri" w:eastAsia="Calibri" w:hAnsi="Calibri" w:cs="Calibri"/>
                <w:sz w:val="23"/>
                <w:szCs w:val="22"/>
                <w:lang w:eastAsia="en-US"/>
              </w:rPr>
              <w:t>Review and add comments to the two workshop outline scoping documents</w:t>
            </w:r>
          </w:p>
        </w:tc>
        <w:tc>
          <w:tcPr>
            <w:tcW w:w="1157" w:type="dxa"/>
          </w:tcPr>
          <w:p w:rsidR="002F7BFE" w:rsidRPr="002F7BFE" w:rsidRDefault="002F7BFE" w:rsidP="002F7BFE">
            <w:pPr>
              <w:spacing w:before="20" w:after="20" w:line="276" w:lineRule="auto"/>
              <w:rPr>
                <w:rFonts w:ascii="Calibri" w:eastAsia="Calibri" w:hAnsi="Calibri" w:cs="Calibri"/>
                <w:b/>
                <w:sz w:val="23"/>
                <w:szCs w:val="22"/>
                <w:lang w:eastAsia="en-US"/>
              </w:rPr>
            </w:pPr>
            <w:r w:rsidRPr="002F7BFE">
              <w:rPr>
                <w:rFonts w:ascii="Calibri" w:eastAsia="Calibri" w:hAnsi="Calibri" w:cs="Calibri"/>
                <w:b/>
                <w:sz w:val="23"/>
                <w:szCs w:val="22"/>
                <w:lang w:eastAsia="en-US"/>
              </w:rPr>
              <w:t>ALL</w:t>
            </w:r>
          </w:p>
        </w:tc>
        <w:tc>
          <w:tcPr>
            <w:tcW w:w="2011" w:type="dxa"/>
          </w:tcPr>
          <w:p w:rsidR="002F7BFE" w:rsidRPr="002F7BFE" w:rsidRDefault="002F7BFE" w:rsidP="002F7BFE">
            <w:pPr>
              <w:spacing w:before="20" w:after="20" w:line="276" w:lineRule="auto"/>
              <w:rPr>
                <w:rFonts w:ascii="Calibri" w:eastAsia="Calibri" w:hAnsi="Calibri" w:cs="Calibri"/>
                <w:sz w:val="23"/>
                <w:szCs w:val="22"/>
                <w:lang w:eastAsia="en-US"/>
              </w:rPr>
            </w:pPr>
            <w:r>
              <w:rPr>
                <w:rFonts w:ascii="Calibri" w:eastAsia="Calibri" w:hAnsi="Calibri" w:cs="Calibri"/>
                <w:sz w:val="23"/>
                <w:szCs w:val="22"/>
                <w:lang w:eastAsia="en-US"/>
              </w:rPr>
              <w:t>Done</w:t>
            </w:r>
          </w:p>
        </w:tc>
      </w:tr>
      <w:tr w:rsidR="002F7BFE" w:rsidRPr="002F7BFE" w:rsidTr="001A05C0">
        <w:trPr>
          <w:jc w:val="center"/>
        </w:trPr>
        <w:tc>
          <w:tcPr>
            <w:tcW w:w="921" w:type="dxa"/>
            <w:vMerge w:val="restart"/>
          </w:tcPr>
          <w:p w:rsidR="002F7BFE" w:rsidRPr="002F7BFE" w:rsidRDefault="002F7BFE" w:rsidP="002F7BFE">
            <w:pPr>
              <w:spacing w:before="20" w:after="20" w:line="276" w:lineRule="auto"/>
              <w:jc w:val="center"/>
              <w:rPr>
                <w:rFonts w:ascii="Calibri" w:eastAsia="Calibri" w:hAnsi="Calibri" w:cs="Calibri"/>
                <w:sz w:val="23"/>
                <w:szCs w:val="22"/>
                <w:lang w:eastAsia="en-US"/>
              </w:rPr>
            </w:pPr>
            <w:r w:rsidRPr="002F7BFE">
              <w:rPr>
                <w:rFonts w:ascii="Calibri" w:eastAsia="Calibri" w:hAnsi="Calibri" w:cs="Calibri"/>
                <w:sz w:val="23"/>
                <w:szCs w:val="22"/>
                <w:lang w:eastAsia="en-US"/>
              </w:rPr>
              <w:t>2</w:t>
            </w:r>
          </w:p>
        </w:tc>
        <w:tc>
          <w:tcPr>
            <w:tcW w:w="5210" w:type="dxa"/>
          </w:tcPr>
          <w:p w:rsidR="002F7BFE" w:rsidRPr="002F7BFE" w:rsidRDefault="002F7BFE" w:rsidP="002F7BFE">
            <w:pPr>
              <w:spacing w:before="20" w:after="20" w:line="276" w:lineRule="auto"/>
              <w:rPr>
                <w:rFonts w:ascii="Calibri" w:eastAsia="Calibri" w:hAnsi="Calibri" w:cs="Calibri"/>
                <w:sz w:val="23"/>
                <w:szCs w:val="22"/>
                <w:lang w:eastAsia="en-US"/>
              </w:rPr>
            </w:pPr>
            <w:r w:rsidRPr="002F7BFE">
              <w:rPr>
                <w:rFonts w:ascii="Calibri" w:eastAsia="Calibri" w:hAnsi="Calibri" w:cs="Calibri"/>
                <w:sz w:val="23"/>
                <w:szCs w:val="22"/>
                <w:lang w:eastAsia="en-US"/>
              </w:rPr>
              <w:t>develop an overview of groups involved in network &amp; connection issues, incl. timings &amp; membership, to explore how the MGICG could contribute or stay up to date on developments</w:t>
            </w:r>
          </w:p>
        </w:tc>
        <w:tc>
          <w:tcPr>
            <w:tcW w:w="1157" w:type="dxa"/>
          </w:tcPr>
          <w:p w:rsidR="002F7BFE" w:rsidRPr="002F7BFE" w:rsidRDefault="002F7BFE" w:rsidP="002F7BFE">
            <w:pPr>
              <w:spacing w:before="20" w:after="20" w:line="276" w:lineRule="auto"/>
              <w:rPr>
                <w:rFonts w:ascii="Calibri" w:eastAsia="Calibri" w:hAnsi="Calibri" w:cs="Calibri"/>
                <w:b/>
                <w:sz w:val="23"/>
                <w:szCs w:val="22"/>
                <w:lang w:eastAsia="en-US"/>
              </w:rPr>
            </w:pPr>
            <w:r w:rsidRPr="002F7BFE">
              <w:rPr>
                <w:rFonts w:ascii="Calibri" w:eastAsia="Calibri" w:hAnsi="Calibri" w:cs="Calibri"/>
                <w:b/>
                <w:sz w:val="23"/>
                <w:szCs w:val="22"/>
                <w:lang w:eastAsia="en-US"/>
              </w:rPr>
              <w:t>EEPH</w:t>
            </w:r>
          </w:p>
        </w:tc>
        <w:tc>
          <w:tcPr>
            <w:tcW w:w="2011" w:type="dxa"/>
          </w:tcPr>
          <w:p w:rsidR="002F7BFE" w:rsidRPr="002F7BFE" w:rsidRDefault="001B187B" w:rsidP="002F7BFE">
            <w:pPr>
              <w:spacing w:before="20" w:after="20" w:line="276" w:lineRule="auto"/>
              <w:rPr>
                <w:rFonts w:ascii="Calibri" w:eastAsia="Calibri" w:hAnsi="Calibri" w:cs="Calibri"/>
                <w:sz w:val="23"/>
                <w:szCs w:val="22"/>
                <w:lang w:eastAsia="en-US"/>
              </w:rPr>
            </w:pPr>
            <w:r>
              <w:rPr>
                <w:rFonts w:ascii="Calibri" w:eastAsia="Calibri" w:hAnsi="Calibri" w:cs="Calibri"/>
                <w:sz w:val="23"/>
                <w:szCs w:val="22"/>
                <w:lang w:eastAsia="en-US"/>
              </w:rPr>
              <w:t>email sent 29 May</w:t>
            </w:r>
          </w:p>
        </w:tc>
      </w:tr>
      <w:tr w:rsidR="002F7BFE" w:rsidRPr="002F7BFE" w:rsidTr="001A05C0">
        <w:trPr>
          <w:jc w:val="center"/>
        </w:trPr>
        <w:tc>
          <w:tcPr>
            <w:tcW w:w="921" w:type="dxa"/>
            <w:vMerge/>
          </w:tcPr>
          <w:p w:rsidR="002F7BFE" w:rsidRPr="002F7BFE" w:rsidRDefault="002F7BFE" w:rsidP="002F7BFE">
            <w:pPr>
              <w:spacing w:before="20" w:after="20" w:line="276" w:lineRule="auto"/>
              <w:jc w:val="center"/>
              <w:rPr>
                <w:rFonts w:ascii="Calibri" w:eastAsia="Calibri" w:hAnsi="Calibri" w:cs="Calibri"/>
                <w:sz w:val="23"/>
                <w:szCs w:val="22"/>
                <w:lang w:eastAsia="en-US"/>
              </w:rPr>
            </w:pPr>
          </w:p>
        </w:tc>
        <w:tc>
          <w:tcPr>
            <w:tcW w:w="5210" w:type="dxa"/>
          </w:tcPr>
          <w:p w:rsidR="002F7BFE" w:rsidRPr="002F7BFE" w:rsidRDefault="002F7BFE" w:rsidP="002F7BFE">
            <w:pPr>
              <w:spacing w:before="20" w:after="20" w:line="276" w:lineRule="auto"/>
              <w:rPr>
                <w:rFonts w:ascii="Calibri" w:eastAsia="Calibri" w:hAnsi="Calibri" w:cs="Calibri"/>
                <w:sz w:val="23"/>
                <w:szCs w:val="22"/>
                <w:lang w:eastAsia="en-US"/>
              </w:rPr>
            </w:pPr>
            <w:r w:rsidRPr="002F7BFE">
              <w:rPr>
                <w:rFonts w:ascii="Calibri" w:eastAsia="Calibri" w:hAnsi="Calibri" w:cs="Calibri"/>
                <w:sz w:val="23"/>
                <w:szCs w:val="22"/>
                <w:lang w:eastAsia="en-US"/>
              </w:rPr>
              <w:t xml:space="preserve">association members to feed back to EEPH on their involvement/participation in ENA </w:t>
            </w:r>
            <w:proofErr w:type="spellStart"/>
            <w:r w:rsidRPr="002F7BFE">
              <w:rPr>
                <w:rFonts w:ascii="Calibri" w:eastAsia="Calibri" w:hAnsi="Calibri" w:cs="Calibri"/>
                <w:sz w:val="23"/>
                <w:szCs w:val="22"/>
                <w:lang w:eastAsia="en-US"/>
              </w:rPr>
              <w:t>workstreams</w:t>
            </w:r>
            <w:proofErr w:type="spellEnd"/>
          </w:p>
        </w:tc>
        <w:tc>
          <w:tcPr>
            <w:tcW w:w="1157" w:type="dxa"/>
          </w:tcPr>
          <w:p w:rsidR="002F7BFE" w:rsidRPr="002F7BFE" w:rsidRDefault="002F7BFE" w:rsidP="002F7BFE">
            <w:pPr>
              <w:spacing w:before="20" w:after="20" w:line="276" w:lineRule="auto"/>
              <w:rPr>
                <w:rFonts w:ascii="Calibri" w:eastAsia="Calibri" w:hAnsi="Calibri" w:cs="Calibri"/>
                <w:b/>
                <w:sz w:val="23"/>
                <w:szCs w:val="22"/>
                <w:lang w:eastAsia="en-US"/>
              </w:rPr>
            </w:pPr>
            <w:r w:rsidRPr="002F7BFE">
              <w:rPr>
                <w:rFonts w:ascii="Calibri" w:eastAsia="Calibri" w:hAnsi="Calibri" w:cs="Calibri"/>
                <w:b/>
                <w:sz w:val="23"/>
                <w:szCs w:val="22"/>
                <w:lang w:eastAsia="en-US"/>
              </w:rPr>
              <w:t>Trade Association members</w:t>
            </w:r>
          </w:p>
        </w:tc>
        <w:tc>
          <w:tcPr>
            <w:tcW w:w="2011" w:type="dxa"/>
          </w:tcPr>
          <w:p w:rsidR="002F7BFE" w:rsidRPr="002F7BFE" w:rsidRDefault="002F7BFE" w:rsidP="002F7BFE">
            <w:pPr>
              <w:spacing w:before="20" w:after="20" w:line="276" w:lineRule="auto"/>
              <w:rPr>
                <w:rFonts w:ascii="Calibri" w:eastAsia="Calibri" w:hAnsi="Calibri" w:cs="Calibri"/>
                <w:sz w:val="23"/>
                <w:szCs w:val="22"/>
                <w:lang w:eastAsia="en-US"/>
              </w:rPr>
            </w:pPr>
            <w:r>
              <w:rPr>
                <w:rFonts w:ascii="Calibri" w:eastAsia="Calibri" w:hAnsi="Calibri" w:cs="Calibri"/>
                <w:sz w:val="23"/>
                <w:szCs w:val="22"/>
                <w:lang w:eastAsia="en-US"/>
              </w:rPr>
              <w:t>Pending</w:t>
            </w:r>
          </w:p>
        </w:tc>
      </w:tr>
      <w:tr w:rsidR="002F7BFE" w:rsidRPr="002F7BFE" w:rsidTr="001A05C0">
        <w:trPr>
          <w:jc w:val="center"/>
        </w:trPr>
        <w:tc>
          <w:tcPr>
            <w:tcW w:w="921" w:type="dxa"/>
            <w:vMerge/>
          </w:tcPr>
          <w:p w:rsidR="002F7BFE" w:rsidRPr="002F7BFE" w:rsidRDefault="002F7BFE" w:rsidP="002F7BFE">
            <w:pPr>
              <w:spacing w:before="20" w:after="20" w:line="276" w:lineRule="auto"/>
              <w:jc w:val="center"/>
              <w:rPr>
                <w:rFonts w:ascii="Calibri" w:eastAsia="Calibri" w:hAnsi="Calibri" w:cs="Calibri"/>
                <w:sz w:val="23"/>
                <w:szCs w:val="22"/>
                <w:lang w:eastAsia="en-US"/>
              </w:rPr>
            </w:pPr>
          </w:p>
        </w:tc>
        <w:tc>
          <w:tcPr>
            <w:tcW w:w="5210" w:type="dxa"/>
          </w:tcPr>
          <w:p w:rsidR="002F7BFE" w:rsidRPr="002F7BFE" w:rsidRDefault="002F7BFE" w:rsidP="002F7BFE">
            <w:pPr>
              <w:spacing w:before="20" w:after="20" w:line="276" w:lineRule="auto"/>
              <w:rPr>
                <w:rFonts w:ascii="Calibri" w:eastAsia="Calibri" w:hAnsi="Calibri" w:cs="Calibri"/>
                <w:sz w:val="23"/>
                <w:szCs w:val="22"/>
                <w:lang w:eastAsia="en-US"/>
              </w:rPr>
            </w:pPr>
            <w:proofErr w:type="spellStart"/>
            <w:r w:rsidRPr="002F7BFE">
              <w:rPr>
                <w:rFonts w:ascii="Calibri" w:eastAsia="Calibri" w:hAnsi="Calibri" w:cs="Calibri"/>
                <w:sz w:val="23"/>
                <w:szCs w:val="22"/>
                <w:lang w:eastAsia="en-US"/>
              </w:rPr>
              <w:t>Ofgem</w:t>
            </w:r>
            <w:proofErr w:type="spellEnd"/>
            <w:r w:rsidRPr="002F7BFE">
              <w:rPr>
                <w:rFonts w:ascii="Calibri" w:eastAsia="Calibri" w:hAnsi="Calibri" w:cs="Calibri"/>
                <w:sz w:val="23"/>
                <w:szCs w:val="22"/>
                <w:lang w:eastAsia="en-US"/>
              </w:rPr>
              <w:t xml:space="preserve"> and ENA to be re-invited for further discussion.</w:t>
            </w:r>
          </w:p>
        </w:tc>
        <w:tc>
          <w:tcPr>
            <w:tcW w:w="1157" w:type="dxa"/>
          </w:tcPr>
          <w:p w:rsidR="002F7BFE" w:rsidRPr="002F7BFE" w:rsidRDefault="002F7BFE" w:rsidP="002F7BFE">
            <w:pPr>
              <w:spacing w:before="20" w:after="20" w:line="276" w:lineRule="auto"/>
              <w:rPr>
                <w:rFonts w:ascii="Calibri" w:eastAsia="Calibri" w:hAnsi="Calibri" w:cs="Calibri"/>
                <w:b/>
                <w:sz w:val="23"/>
                <w:szCs w:val="22"/>
                <w:lang w:eastAsia="en-US"/>
              </w:rPr>
            </w:pPr>
            <w:r w:rsidRPr="002F7BFE">
              <w:rPr>
                <w:rFonts w:ascii="Calibri" w:eastAsia="Calibri" w:hAnsi="Calibri" w:cs="Calibri"/>
                <w:b/>
                <w:sz w:val="23"/>
                <w:szCs w:val="22"/>
                <w:lang w:eastAsia="en-US"/>
              </w:rPr>
              <w:t>EEPH</w:t>
            </w:r>
          </w:p>
        </w:tc>
        <w:tc>
          <w:tcPr>
            <w:tcW w:w="2011" w:type="dxa"/>
          </w:tcPr>
          <w:p w:rsidR="002F7BFE" w:rsidRPr="002F7BFE" w:rsidRDefault="002F7BFE" w:rsidP="002F7BFE">
            <w:pPr>
              <w:spacing w:before="20" w:after="20" w:line="276" w:lineRule="auto"/>
              <w:rPr>
                <w:rFonts w:ascii="Calibri" w:eastAsia="Calibri" w:hAnsi="Calibri" w:cs="Calibri"/>
                <w:sz w:val="23"/>
                <w:szCs w:val="22"/>
                <w:lang w:eastAsia="en-US"/>
              </w:rPr>
            </w:pPr>
            <w:r w:rsidRPr="002F7BFE">
              <w:rPr>
                <w:rFonts w:ascii="Calibri" w:eastAsia="Calibri" w:hAnsi="Calibri" w:cs="Calibri"/>
                <w:sz w:val="23"/>
                <w:szCs w:val="22"/>
                <w:lang w:eastAsia="en-US"/>
              </w:rPr>
              <w:t>in about 6 months</w:t>
            </w:r>
          </w:p>
        </w:tc>
      </w:tr>
      <w:tr w:rsidR="002F7BFE" w:rsidRPr="002F7BFE" w:rsidTr="001A05C0">
        <w:trPr>
          <w:jc w:val="center"/>
        </w:trPr>
        <w:tc>
          <w:tcPr>
            <w:tcW w:w="921" w:type="dxa"/>
            <w:vMerge/>
          </w:tcPr>
          <w:p w:rsidR="002F7BFE" w:rsidRPr="002F7BFE" w:rsidRDefault="002F7BFE" w:rsidP="002F7BFE">
            <w:pPr>
              <w:spacing w:before="20" w:after="20" w:line="276" w:lineRule="auto"/>
              <w:jc w:val="center"/>
              <w:rPr>
                <w:rFonts w:ascii="Calibri" w:eastAsia="Calibri" w:hAnsi="Calibri" w:cs="Calibri"/>
                <w:sz w:val="23"/>
                <w:szCs w:val="22"/>
                <w:lang w:eastAsia="en-US"/>
              </w:rPr>
            </w:pPr>
          </w:p>
        </w:tc>
        <w:tc>
          <w:tcPr>
            <w:tcW w:w="5210" w:type="dxa"/>
          </w:tcPr>
          <w:p w:rsidR="002F7BFE" w:rsidRPr="002F7BFE" w:rsidRDefault="002F7BFE" w:rsidP="002F7BFE">
            <w:pPr>
              <w:spacing w:before="20" w:after="20" w:line="276" w:lineRule="auto"/>
              <w:rPr>
                <w:rFonts w:ascii="Calibri" w:eastAsia="Calibri" w:hAnsi="Calibri" w:cs="Calibri"/>
                <w:sz w:val="23"/>
                <w:szCs w:val="22"/>
                <w:lang w:eastAsia="en-US"/>
              </w:rPr>
            </w:pPr>
            <w:r w:rsidRPr="002F7BFE">
              <w:rPr>
                <w:rFonts w:ascii="Calibri" w:eastAsia="Calibri" w:hAnsi="Calibri" w:cs="Calibri"/>
                <w:sz w:val="23"/>
                <w:szCs w:val="22"/>
                <w:lang w:eastAsia="en-US"/>
              </w:rPr>
              <w:t>Provide information about the MPC’s “PV legal” project when available</w:t>
            </w:r>
          </w:p>
        </w:tc>
        <w:tc>
          <w:tcPr>
            <w:tcW w:w="1157" w:type="dxa"/>
          </w:tcPr>
          <w:p w:rsidR="002F7BFE" w:rsidRPr="002F7BFE" w:rsidRDefault="002F7BFE" w:rsidP="002F7BFE">
            <w:pPr>
              <w:spacing w:before="20" w:after="20" w:line="276" w:lineRule="auto"/>
              <w:rPr>
                <w:rFonts w:ascii="Calibri" w:eastAsia="Calibri" w:hAnsi="Calibri" w:cs="Calibri"/>
                <w:b/>
                <w:sz w:val="23"/>
                <w:szCs w:val="22"/>
                <w:lang w:eastAsia="en-US"/>
              </w:rPr>
            </w:pPr>
            <w:r w:rsidRPr="002F7BFE">
              <w:rPr>
                <w:rFonts w:ascii="Calibri" w:eastAsia="Calibri" w:hAnsi="Calibri" w:cs="Calibri"/>
                <w:b/>
                <w:sz w:val="23"/>
                <w:szCs w:val="22"/>
                <w:lang w:eastAsia="en-US"/>
              </w:rPr>
              <w:t>GB</w:t>
            </w:r>
          </w:p>
        </w:tc>
        <w:tc>
          <w:tcPr>
            <w:tcW w:w="2011" w:type="dxa"/>
          </w:tcPr>
          <w:p w:rsidR="002F7BFE" w:rsidRPr="002F7BFE" w:rsidRDefault="002F7BFE" w:rsidP="002F7BFE">
            <w:pPr>
              <w:spacing w:before="20" w:after="20" w:line="276" w:lineRule="auto"/>
              <w:rPr>
                <w:rFonts w:ascii="Calibri" w:eastAsia="Calibri" w:hAnsi="Calibri" w:cs="Calibri"/>
                <w:sz w:val="23"/>
                <w:szCs w:val="22"/>
                <w:lang w:eastAsia="en-US"/>
              </w:rPr>
            </w:pPr>
            <w:r>
              <w:rPr>
                <w:rFonts w:ascii="Calibri" w:eastAsia="Calibri" w:hAnsi="Calibri" w:cs="Calibri"/>
                <w:sz w:val="23"/>
                <w:szCs w:val="22"/>
                <w:lang w:eastAsia="en-US"/>
              </w:rPr>
              <w:t>Pending</w:t>
            </w:r>
          </w:p>
        </w:tc>
      </w:tr>
      <w:tr w:rsidR="002F7BFE" w:rsidRPr="002F7BFE" w:rsidTr="001A05C0">
        <w:trPr>
          <w:jc w:val="center"/>
        </w:trPr>
        <w:tc>
          <w:tcPr>
            <w:tcW w:w="921" w:type="dxa"/>
          </w:tcPr>
          <w:p w:rsidR="002F7BFE" w:rsidRPr="002F7BFE" w:rsidRDefault="002F7BFE" w:rsidP="002F7BFE">
            <w:pPr>
              <w:spacing w:before="20" w:after="20" w:line="276" w:lineRule="auto"/>
              <w:jc w:val="center"/>
              <w:rPr>
                <w:rFonts w:ascii="Calibri" w:eastAsia="Calibri" w:hAnsi="Calibri" w:cs="Calibri"/>
                <w:sz w:val="23"/>
                <w:szCs w:val="22"/>
                <w:lang w:eastAsia="en-US"/>
              </w:rPr>
            </w:pPr>
            <w:r w:rsidRPr="002F7BFE">
              <w:rPr>
                <w:rFonts w:ascii="Calibri" w:eastAsia="Calibri" w:hAnsi="Calibri" w:cs="Calibri"/>
                <w:sz w:val="23"/>
                <w:szCs w:val="22"/>
                <w:lang w:eastAsia="en-US"/>
              </w:rPr>
              <w:t>4</w:t>
            </w:r>
          </w:p>
        </w:tc>
        <w:tc>
          <w:tcPr>
            <w:tcW w:w="5210" w:type="dxa"/>
          </w:tcPr>
          <w:p w:rsidR="002F7BFE" w:rsidRPr="002F7BFE" w:rsidRDefault="002F7BFE" w:rsidP="002F7BFE">
            <w:pPr>
              <w:spacing w:before="20" w:after="20" w:line="276" w:lineRule="auto"/>
              <w:rPr>
                <w:rFonts w:ascii="Calibri" w:eastAsia="Calibri" w:hAnsi="Calibri" w:cs="Calibri"/>
                <w:sz w:val="23"/>
                <w:szCs w:val="22"/>
                <w:lang w:eastAsia="en-US"/>
              </w:rPr>
            </w:pPr>
            <w:r w:rsidRPr="002F7BFE">
              <w:rPr>
                <w:rFonts w:ascii="Calibri" w:eastAsia="Calibri" w:hAnsi="Calibri" w:cs="Calibri"/>
                <w:sz w:val="23"/>
                <w:szCs w:val="22"/>
                <w:lang w:eastAsia="en-US"/>
              </w:rPr>
              <w:t xml:space="preserve">Share minutes from the MPC </w:t>
            </w:r>
            <w:proofErr w:type="spellStart"/>
            <w:r w:rsidRPr="002F7BFE">
              <w:rPr>
                <w:rFonts w:ascii="Calibri" w:eastAsia="Calibri" w:hAnsi="Calibri" w:cs="Calibri"/>
                <w:sz w:val="23"/>
                <w:szCs w:val="22"/>
                <w:lang w:eastAsia="en-US"/>
              </w:rPr>
              <w:t>Microgen</w:t>
            </w:r>
            <w:proofErr w:type="spellEnd"/>
            <w:r w:rsidRPr="002F7BFE">
              <w:rPr>
                <w:rFonts w:ascii="Calibri" w:eastAsia="Calibri" w:hAnsi="Calibri" w:cs="Calibri"/>
                <w:sz w:val="23"/>
                <w:szCs w:val="22"/>
                <w:lang w:eastAsia="en-US"/>
              </w:rPr>
              <w:t xml:space="preserve"> Messaging Group</w:t>
            </w:r>
          </w:p>
        </w:tc>
        <w:tc>
          <w:tcPr>
            <w:tcW w:w="1157" w:type="dxa"/>
          </w:tcPr>
          <w:p w:rsidR="002F7BFE" w:rsidRPr="002F7BFE" w:rsidRDefault="002F7BFE" w:rsidP="002F7BFE">
            <w:pPr>
              <w:spacing w:before="20" w:after="20" w:line="276" w:lineRule="auto"/>
              <w:rPr>
                <w:rFonts w:ascii="Calibri" w:eastAsia="Calibri" w:hAnsi="Calibri" w:cs="Calibri"/>
                <w:b/>
                <w:sz w:val="23"/>
                <w:szCs w:val="22"/>
                <w:lang w:eastAsia="en-US"/>
              </w:rPr>
            </w:pPr>
            <w:r w:rsidRPr="002F7BFE">
              <w:rPr>
                <w:rFonts w:ascii="Calibri" w:eastAsia="Calibri" w:hAnsi="Calibri" w:cs="Calibri"/>
                <w:b/>
                <w:sz w:val="23"/>
                <w:szCs w:val="22"/>
                <w:lang w:eastAsia="en-US"/>
              </w:rPr>
              <w:t>GB</w:t>
            </w:r>
          </w:p>
        </w:tc>
        <w:tc>
          <w:tcPr>
            <w:tcW w:w="2011" w:type="dxa"/>
          </w:tcPr>
          <w:p w:rsidR="002F7BFE" w:rsidRPr="002F7BFE" w:rsidRDefault="002F7BFE" w:rsidP="002F7BFE">
            <w:pPr>
              <w:spacing w:before="20" w:after="20" w:line="276" w:lineRule="auto"/>
              <w:rPr>
                <w:rFonts w:ascii="Calibri" w:eastAsia="Calibri" w:hAnsi="Calibri" w:cs="Calibri"/>
                <w:sz w:val="23"/>
                <w:szCs w:val="22"/>
                <w:lang w:eastAsia="en-US"/>
              </w:rPr>
            </w:pPr>
            <w:r>
              <w:rPr>
                <w:rFonts w:ascii="Calibri" w:eastAsia="Calibri" w:hAnsi="Calibri" w:cs="Calibri"/>
                <w:sz w:val="23"/>
                <w:szCs w:val="22"/>
                <w:lang w:eastAsia="en-US"/>
              </w:rPr>
              <w:t>Pending</w:t>
            </w:r>
          </w:p>
        </w:tc>
      </w:tr>
      <w:tr w:rsidR="002F7BFE" w:rsidRPr="002F7BFE" w:rsidTr="001A05C0">
        <w:trPr>
          <w:jc w:val="center"/>
        </w:trPr>
        <w:tc>
          <w:tcPr>
            <w:tcW w:w="921" w:type="dxa"/>
          </w:tcPr>
          <w:p w:rsidR="002F7BFE" w:rsidRPr="002F7BFE" w:rsidRDefault="002F7BFE" w:rsidP="002F7BFE">
            <w:pPr>
              <w:spacing w:before="20" w:after="20" w:line="276" w:lineRule="auto"/>
              <w:jc w:val="center"/>
              <w:rPr>
                <w:rFonts w:ascii="Calibri" w:eastAsia="Calibri" w:hAnsi="Calibri" w:cs="Calibri"/>
                <w:sz w:val="23"/>
                <w:szCs w:val="22"/>
                <w:lang w:eastAsia="en-US"/>
              </w:rPr>
            </w:pPr>
            <w:r w:rsidRPr="002F7BFE">
              <w:rPr>
                <w:rFonts w:ascii="Calibri" w:eastAsia="Calibri" w:hAnsi="Calibri" w:cs="Calibri"/>
                <w:sz w:val="23"/>
                <w:szCs w:val="22"/>
                <w:lang w:eastAsia="en-US"/>
              </w:rPr>
              <w:t>3.2</w:t>
            </w:r>
          </w:p>
        </w:tc>
        <w:tc>
          <w:tcPr>
            <w:tcW w:w="5210" w:type="dxa"/>
          </w:tcPr>
          <w:p w:rsidR="002F7BFE" w:rsidRPr="002F7BFE" w:rsidRDefault="002F7BFE" w:rsidP="002F7BFE">
            <w:pPr>
              <w:spacing w:before="20" w:after="20" w:line="276" w:lineRule="auto"/>
              <w:rPr>
                <w:rFonts w:ascii="Calibri" w:eastAsia="Calibri" w:hAnsi="Calibri" w:cs="Calibri"/>
                <w:sz w:val="23"/>
                <w:szCs w:val="22"/>
                <w:lang w:eastAsia="en-US"/>
              </w:rPr>
            </w:pPr>
            <w:r w:rsidRPr="002F7BFE">
              <w:rPr>
                <w:rFonts w:ascii="Calibri" w:eastAsia="Calibri" w:hAnsi="Calibri" w:cs="Calibri"/>
                <w:sz w:val="23"/>
                <w:szCs w:val="22"/>
                <w:lang w:eastAsia="en-US"/>
              </w:rPr>
              <w:t>Circulate briefing paper on RHI and GD</w:t>
            </w:r>
          </w:p>
        </w:tc>
        <w:tc>
          <w:tcPr>
            <w:tcW w:w="1157" w:type="dxa"/>
          </w:tcPr>
          <w:p w:rsidR="002F7BFE" w:rsidRPr="002F7BFE" w:rsidRDefault="002F7BFE" w:rsidP="002F7BFE">
            <w:pPr>
              <w:spacing w:before="20" w:after="20" w:line="276" w:lineRule="auto"/>
              <w:rPr>
                <w:rFonts w:ascii="Calibri" w:eastAsia="Calibri" w:hAnsi="Calibri" w:cs="Calibri"/>
                <w:b/>
                <w:sz w:val="23"/>
                <w:szCs w:val="22"/>
                <w:lang w:eastAsia="en-US"/>
              </w:rPr>
            </w:pPr>
            <w:r w:rsidRPr="002F7BFE">
              <w:rPr>
                <w:rFonts w:ascii="Calibri" w:eastAsia="Calibri" w:hAnsi="Calibri" w:cs="Calibri"/>
                <w:b/>
                <w:sz w:val="23"/>
                <w:szCs w:val="22"/>
                <w:lang w:eastAsia="en-US"/>
              </w:rPr>
              <w:t>PR</w:t>
            </w:r>
          </w:p>
        </w:tc>
        <w:tc>
          <w:tcPr>
            <w:tcW w:w="2011" w:type="dxa"/>
          </w:tcPr>
          <w:p w:rsidR="002F7BFE" w:rsidRPr="002F7BFE" w:rsidRDefault="002F7BFE" w:rsidP="002F7BFE">
            <w:pPr>
              <w:spacing w:before="20" w:after="20" w:line="276" w:lineRule="auto"/>
              <w:rPr>
                <w:rFonts w:ascii="Calibri" w:eastAsia="Calibri" w:hAnsi="Calibri" w:cs="Calibri"/>
                <w:sz w:val="23"/>
                <w:szCs w:val="22"/>
                <w:lang w:eastAsia="en-US"/>
              </w:rPr>
            </w:pPr>
            <w:r>
              <w:rPr>
                <w:rFonts w:ascii="Calibri" w:eastAsia="Calibri" w:hAnsi="Calibri" w:cs="Calibri"/>
                <w:sz w:val="23"/>
                <w:szCs w:val="22"/>
                <w:lang w:eastAsia="en-US"/>
              </w:rPr>
              <w:t>Pending</w:t>
            </w:r>
          </w:p>
        </w:tc>
      </w:tr>
      <w:tr w:rsidR="002F7BFE" w:rsidRPr="002F7BFE" w:rsidTr="001A05C0">
        <w:trPr>
          <w:jc w:val="center"/>
        </w:trPr>
        <w:tc>
          <w:tcPr>
            <w:tcW w:w="921" w:type="dxa"/>
            <w:vMerge w:val="restart"/>
          </w:tcPr>
          <w:p w:rsidR="002F7BFE" w:rsidRPr="002F7BFE" w:rsidRDefault="002F7BFE" w:rsidP="002F7BFE">
            <w:pPr>
              <w:spacing w:before="20" w:after="20" w:line="276" w:lineRule="auto"/>
              <w:jc w:val="center"/>
              <w:rPr>
                <w:rFonts w:ascii="Calibri" w:eastAsia="Calibri" w:hAnsi="Calibri" w:cs="Calibri"/>
                <w:sz w:val="23"/>
                <w:szCs w:val="22"/>
                <w:lang w:eastAsia="en-US"/>
              </w:rPr>
            </w:pPr>
            <w:r w:rsidRPr="002F7BFE">
              <w:rPr>
                <w:rFonts w:ascii="Calibri" w:eastAsia="Calibri" w:hAnsi="Calibri" w:cs="Calibri"/>
                <w:sz w:val="23"/>
                <w:szCs w:val="22"/>
                <w:lang w:eastAsia="en-US"/>
              </w:rPr>
              <w:t>5</w:t>
            </w:r>
          </w:p>
        </w:tc>
        <w:tc>
          <w:tcPr>
            <w:tcW w:w="5210" w:type="dxa"/>
          </w:tcPr>
          <w:p w:rsidR="002F7BFE" w:rsidRPr="002F7BFE" w:rsidRDefault="002F7BFE" w:rsidP="002F7BFE">
            <w:pPr>
              <w:spacing w:before="20" w:after="20" w:line="276" w:lineRule="auto"/>
              <w:rPr>
                <w:rFonts w:ascii="Calibri" w:eastAsia="Calibri" w:hAnsi="Calibri" w:cs="Calibri"/>
                <w:sz w:val="23"/>
                <w:szCs w:val="22"/>
                <w:lang w:eastAsia="en-US"/>
              </w:rPr>
            </w:pPr>
            <w:r w:rsidRPr="002F7BFE">
              <w:rPr>
                <w:rFonts w:ascii="Calibri" w:eastAsia="Calibri" w:hAnsi="Calibri" w:cs="Calibri"/>
                <w:sz w:val="23"/>
                <w:szCs w:val="22"/>
                <w:lang w:eastAsia="en-US"/>
              </w:rPr>
              <w:t>Put some points onto Huddle as “straw man” for responses to the SAP consultation</w:t>
            </w:r>
          </w:p>
        </w:tc>
        <w:tc>
          <w:tcPr>
            <w:tcW w:w="1157" w:type="dxa"/>
          </w:tcPr>
          <w:p w:rsidR="002F7BFE" w:rsidRPr="002F7BFE" w:rsidRDefault="002F7BFE" w:rsidP="002F7BFE">
            <w:pPr>
              <w:spacing w:before="20" w:after="20" w:line="276" w:lineRule="auto"/>
              <w:rPr>
                <w:rFonts w:ascii="Calibri" w:eastAsia="Calibri" w:hAnsi="Calibri" w:cs="Calibri"/>
                <w:b/>
                <w:sz w:val="23"/>
                <w:szCs w:val="22"/>
                <w:lang w:eastAsia="en-US"/>
              </w:rPr>
            </w:pPr>
            <w:r w:rsidRPr="002F7BFE">
              <w:rPr>
                <w:rFonts w:ascii="Calibri" w:eastAsia="Calibri" w:hAnsi="Calibri" w:cs="Calibri"/>
                <w:b/>
                <w:sz w:val="23"/>
                <w:szCs w:val="22"/>
                <w:lang w:eastAsia="en-US"/>
              </w:rPr>
              <w:t>GB</w:t>
            </w:r>
          </w:p>
        </w:tc>
        <w:tc>
          <w:tcPr>
            <w:tcW w:w="2011" w:type="dxa"/>
          </w:tcPr>
          <w:p w:rsidR="002F7BFE" w:rsidRPr="002F7BFE" w:rsidRDefault="001B187B" w:rsidP="002F7BFE">
            <w:pPr>
              <w:spacing w:before="20" w:after="20" w:line="276" w:lineRule="auto"/>
              <w:rPr>
                <w:rFonts w:ascii="Calibri" w:eastAsia="Calibri" w:hAnsi="Calibri" w:cs="Calibri"/>
                <w:sz w:val="23"/>
                <w:szCs w:val="22"/>
                <w:lang w:eastAsia="en-US"/>
              </w:rPr>
            </w:pPr>
            <w:r>
              <w:rPr>
                <w:rFonts w:ascii="Calibri" w:eastAsia="Calibri" w:hAnsi="Calibri" w:cs="Calibri"/>
                <w:sz w:val="23"/>
                <w:szCs w:val="22"/>
                <w:lang w:eastAsia="en-US"/>
              </w:rPr>
              <w:t>paper was submitted</w:t>
            </w:r>
          </w:p>
        </w:tc>
      </w:tr>
      <w:tr w:rsidR="002F7BFE" w:rsidRPr="002F7BFE" w:rsidTr="001A05C0">
        <w:trPr>
          <w:jc w:val="center"/>
        </w:trPr>
        <w:tc>
          <w:tcPr>
            <w:tcW w:w="921" w:type="dxa"/>
            <w:vMerge/>
          </w:tcPr>
          <w:p w:rsidR="002F7BFE" w:rsidRPr="002F7BFE" w:rsidRDefault="002F7BFE" w:rsidP="002F7BFE">
            <w:pPr>
              <w:spacing w:before="20" w:after="20" w:line="276" w:lineRule="auto"/>
              <w:jc w:val="center"/>
              <w:rPr>
                <w:rFonts w:ascii="Calibri" w:eastAsia="Calibri" w:hAnsi="Calibri" w:cs="Calibri"/>
                <w:sz w:val="23"/>
                <w:szCs w:val="22"/>
                <w:lang w:eastAsia="en-US"/>
              </w:rPr>
            </w:pPr>
          </w:p>
        </w:tc>
        <w:tc>
          <w:tcPr>
            <w:tcW w:w="5210" w:type="dxa"/>
          </w:tcPr>
          <w:p w:rsidR="002F7BFE" w:rsidRPr="002F7BFE" w:rsidRDefault="002F7BFE" w:rsidP="002F7BFE">
            <w:pPr>
              <w:spacing w:before="20" w:after="20" w:line="276" w:lineRule="auto"/>
              <w:rPr>
                <w:rFonts w:ascii="Calibri" w:eastAsia="Calibri" w:hAnsi="Calibri" w:cs="Calibri"/>
                <w:sz w:val="23"/>
                <w:szCs w:val="22"/>
                <w:lang w:eastAsia="en-US"/>
              </w:rPr>
            </w:pPr>
            <w:r w:rsidRPr="002F7BFE">
              <w:rPr>
                <w:rFonts w:ascii="Calibri" w:eastAsia="Calibri" w:hAnsi="Calibri" w:cs="Calibri"/>
                <w:sz w:val="23"/>
                <w:szCs w:val="22"/>
                <w:lang w:eastAsia="en-US"/>
              </w:rPr>
              <w:t>Circulate update on Community delivery</w:t>
            </w:r>
          </w:p>
        </w:tc>
        <w:tc>
          <w:tcPr>
            <w:tcW w:w="1157" w:type="dxa"/>
          </w:tcPr>
          <w:p w:rsidR="002F7BFE" w:rsidRPr="002F7BFE" w:rsidRDefault="002F7BFE" w:rsidP="002F7BFE">
            <w:pPr>
              <w:spacing w:before="20" w:after="20" w:line="276" w:lineRule="auto"/>
              <w:rPr>
                <w:rFonts w:ascii="Calibri" w:eastAsia="Calibri" w:hAnsi="Calibri" w:cs="Calibri"/>
                <w:b/>
                <w:sz w:val="23"/>
                <w:szCs w:val="22"/>
                <w:lang w:eastAsia="en-US"/>
              </w:rPr>
            </w:pPr>
            <w:r w:rsidRPr="002F7BFE">
              <w:rPr>
                <w:rFonts w:ascii="Calibri" w:eastAsia="Calibri" w:hAnsi="Calibri" w:cs="Calibri"/>
                <w:b/>
                <w:sz w:val="23"/>
                <w:szCs w:val="22"/>
                <w:lang w:eastAsia="en-US"/>
              </w:rPr>
              <w:t>PR</w:t>
            </w:r>
          </w:p>
        </w:tc>
        <w:tc>
          <w:tcPr>
            <w:tcW w:w="2011" w:type="dxa"/>
          </w:tcPr>
          <w:p w:rsidR="002F7BFE" w:rsidRPr="002F7BFE" w:rsidRDefault="001B187B" w:rsidP="002F7BFE">
            <w:pPr>
              <w:spacing w:before="20" w:after="20" w:line="276" w:lineRule="auto"/>
              <w:rPr>
                <w:rFonts w:ascii="Calibri" w:eastAsia="Calibri" w:hAnsi="Calibri" w:cs="Calibri"/>
                <w:sz w:val="23"/>
                <w:szCs w:val="22"/>
                <w:lang w:eastAsia="en-US"/>
              </w:rPr>
            </w:pPr>
            <w:r>
              <w:rPr>
                <w:rFonts w:ascii="Calibri" w:eastAsia="Calibri" w:hAnsi="Calibri" w:cs="Calibri"/>
                <w:sz w:val="23"/>
                <w:szCs w:val="22"/>
                <w:lang w:eastAsia="en-US"/>
              </w:rPr>
              <w:t>Pending</w:t>
            </w:r>
          </w:p>
        </w:tc>
      </w:tr>
      <w:tr w:rsidR="002F7BFE" w:rsidRPr="002F7BFE" w:rsidTr="001A05C0">
        <w:trPr>
          <w:jc w:val="center"/>
        </w:trPr>
        <w:tc>
          <w:tcPr>
            <w:tcW w:w="921" w:type="dxa"/>
          </w:tcPr>
          <w:p w:rsidR="002F7BFE" w:rsidRPr="002F7BFE" w:rsidRDefault="002F7BFE" w:rsidP="002F7BFE">
            <w:pPr>
              <w:spacing w:before="20" w:after="20" w:line="276" w:lineRule="auto"/>
              <w:jc w:val="center"/>
              <w:rPr>
                <w:rFonts w:ascii="Calibri" w:eastAsia="Calibri" w:hAnsi="Calibri" w:cs="Calibri"/>
                <w:sz w:val="23"/>
                <w:szCs w:val="22"/>
                <w:lang w:eastAsia="en-US"/>
              </w:rPr>
            </w:pPr>
            <w:r w:rsidRPr="002F7BFE">
              <w:rPr>
                <w:rFonts w:ascii="Calibri" w:eastAsia="Calibri" w:hAnsi="Calibri" w:cs="Calibri"/>
                <w:sz w:val="23"/>
                <w:szCs w:val="22"/>
                <w:lang w:eastAsia="en-US"/>
              </w:rPr>
              <w:t>6</w:t>
            </w:r>
          </w:p>
        </w:tc>
        <w:tc>
          <w:tcPr>
            <w:tcW w:w="5210" w:type="dxa"/>
          </w:tcPr>
          <w:p w:rsidR="002F7BFE" w:rsidRPr="002F7BFE" w:rsidRDefault="002F7BFE" w:rsidP="002F7BFE">
            <w:pPr>
              <w:spacing w:before="20" w:after="20" w:line="276" w:lineRule="auto"/>
              <w:rPr>
                <w:rFonts w:ascii="Calibri" w:eastAsia="Calibri" w:hAnsi="Calibri" w:cs="Calibri"/>
                <w:sz w:val="23"/>
                <w:szCs w:val="22"/>
                <w:lang w:eastAsia="en-US"/>
              </w:rPr>
            </w:pPr>
            <w:r w:rsidRPr="002F7BFE">
              <w:rPr>
                <w:rFonts w:ascii="Calibri" w:eastAsia="Calibri" w:hAnsi="Calibri" w:cs="Calibri"/>
                <w:sz w:val="23"/>
                <w:szCs w:val="22"/>
                <w:lang w:eastAsia="en-US"/>
              </w:rPr>
              <w:t>Circulate electronic copy of the National Skills Academy’s Introduction to Environmental Technology Systems</w:t>
            </w:r>
          </w:p>
        </w:tc>
        <w:tc>
          <w:tcPr>
            <w:tcW w:w="1157" w:type="dxa"/>
          </w:tcPr>
          <w:p w:rsidR="002F7BFE" w:rsidRPr="002F7BFE" w:rsidRDefault="002F7BFE" w:rsidP="002F7BFE">
            <w:pPr>
              <w:spacing w:before="20" w:after="20" w:line="276" w:lineRule="auto"/>
              <w:rPr>
                <w:rFonts w:ascii="Calibri" w:eastAsia="Calibri" w:hAnsi="Calibri" w:cs="Calibri"/>
                <w:b/>
                <w:sz w:val="23"/>
                <w:szCs w:val="22"/>
                <w:lang w:eastAsia="en-US"/>
              </w:rPr>
            </w:pPr>
            <w:r w:rsidRPr="002F7BFE">
              <w:rPr>
                <w:rFonts w:ascii="Calibri" w:eastAsia="Calibri" w:hAnsi="Calibri" w:cs="Calibri"/>
                <w:b/>
                <w:sz w:val="23"/>
                <w:szCs w:val="22"/>
                <w:lang w:eastAsia="en-US"/>
              </w:rPr>
              <w:t>NH</w:t>
            </w:r>
          </w:p>
        </w:tc>
        <w:tc>
          <w:tcPr>
            <w:tcW w:w="2011" w:type="dxa"/>
          </w:tcPr>
          <w:p w:rsidR="002F7BFE" w:rsidRPr="00471668" w:rsidRDefault="00F21E1E" w:rsidP="002F7BFE">
            <w:pPr>
              <w:spacing w:before="20" w:after="20" w:line="276" w:lineRule="auto"/>
              <w:rPr>
                <w:rFonts w:ascii="Calibri" w:eastAsia="Calibri" w:hAnsi="Calibri" w:cs="Calibri"/>
                <w:sz w:val="23"/>
                <w:szCs w:val="22"/>
                <w:lang w:eastAsia="en-US"/>
              </w:rPr>
            </w:pPr>
            <w:r w:rsidRPr="00471668">
              <w:rPr>
                <w:rFonts w:ascii="Calibri" w:eastAsia="Calibri" w:hAnsi="Calibri" w:cs="Calibri"/>
                <w:sz w:val="23"/>
                <w:szCs w:val="22"/>
                <w:lang w:eastAsia="en-US"/>
              </w:rPr>
              <w:t>Hard copy sent to all members and written letter</w:t>
            </w:r>
          </w:p>
        </w:tc>
      </w:tr>
    </w:tbl>
    <w:p w:rsidR="002F7BFE" w:rsidRPr="002F7BFE" w:rsidRDefault="002F7BFE" w:rsidP="002F7BFE">
      <w:pPr>
        <w:spacing w:after="120" w:line="276" w:lineRule="auto"/>
        <w:rPr>
          <w:rFonts w:ascii="Calibri" w:eastAsia="Calibri" w:hAnsi="Calibri"/>
          <w:sz w:val="23"/>
          <w:szCs w:val="22"/>
          <w:lang w:eastAsia="en-US"/>
        </w:rPr>
      </w:pPr>
    </w:p>
    <w:p w:rsidR="002D3049" w:rsidRPr="002D3049" w:rsidRDefault="002D3049" w:rsidP="002F7BFE">
      <w:pPr>
        <w:pStyle w:val="Heading1"/>
      </w:pPr>
    </w:p>
    <w:sectPr w:rsidR="002D3049" w:rsidRPr="002D3049" w:rsidSect="00E634C9">
      <w:footerReference w:type="default" r:id="rId9"/>
      <w:pgSz w:w="11906" w:h="16838"/>
      <w:pgMar w:top="1247" w:right="1361" w:bottom="1418"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A5D" w:rsidRDefault="00457A5D" w:rsidP="008B0774">
      <w:r>
        <w:separator/>
      </w:r>
    </w:p>
  </w:endnote>
  <w:endnote w:type="continuationSeparator" w:id="0">
    <w:p w:rsidR="00457A5D" w:rsidRDefault="00457A5D" w:rsidP="008B0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096" w:rsidRDefault="00691096" w:rsidP="003227F8">
    <w:pPr>
      <w:pStyle w:val="FootnoteText"/>
    </w:pPr>
    <w:proofErr w:type="gramStart"/>
    <w:r w:rsidRPr="00B37913">
      <w:rPr>
        <w:color w:val="BFBFCC"/>
      </w:rPr>
      <w:t>—</w:t>
    </w:r>
    <w:r>
      <w:t xml:space="preserve">  Page</w:t>
    </w:r>
    <w:proofErr w:type="gramEnd"/>
    <w:r>
      <w:t xml:space="preserve"> </w:t>
    </w:r>
    <w:r w:rsidR="00E94A21">
      <w:fldChar w:fldCharType="begin"/>
    </w:r>
    <w:r>
      <w:instrText xml:space="preserve"> PAGE   \* MERGEFORMAT </w:instrText>
    </w:r>
    <w:r w:rsidR="00E94A21">
      <w:fldChar w:fldCharType="separate"/>
    </w:r>
    <w:r w:rsidR="008115E0">
      <w:rPr>
        <w:noProof/>
      </w:rPr>
      <w:t>7</w:t>
    </w:r>
    <w:r w:rsidR="00E94A21">
      <w:rPr>
        <w:noProof/>
      </w:rPr>
      <w:fldChar w:fldCharType="end"/>
    </w:r>
    <w:r>
      <w:t xml:space="preserve"> of </w:t>
    </w:r>
    <w:fldSimple w:instr=" NUMPAGES   \* MERGEFORMAT ">
      <w:r w:rsidR="008115E0">
        <w:rPr>
          <w:noProof/>
        </w:rPr>
        <w:t>8</w:t>
      </w:r>
    </w:fldSimple>
    <w:r>
      <w:rPr>
        <w:noProof/>
      </w:rPr>
      <w:t xml:space="preserve">  </w:t>
    </w:r>
    <w:r w:rsidRPr="00B37913">
      <w:rPr>
        <w:noProof/>
        <w:color w:val="BFBFCC"/>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A5D" w:rsidRDefault="00457A5D" w:rsidP="008B0774">
      <w:r>
        <w:separator/>
      </w:r>
    </w:p>
  </w:footnote>
  <w:footnote w:type="continuationSeparator" w:id="0">
    <w:p w:rsidR="00457A5D" w:rsidRDefault="00457A5D" w:rsidP="008B07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D1A18D0"/>
    <w:lvl w:ilvl="0">
      <w:start w:val="1"/>
      <w:numFmt w:val="decimal"/>
      <w:lvlText w:val="%1."/>
      <w:lvlJc w:val="left"/>
      <w:pPr>
        <w:tabs>
          <w:tab w:val="num" w:pos="1492"/>
        </w:tabs>
        <w:ind w:left="1492" w:hanging="360"/>
      </w:pPr>
    </w:lvl>
  </w:abstractNum>
  <w:abstractNum w:abstractNumId="1">
    <w:nsid w:val="FFFFFF81"/>
    <w:multiLevelType w:val="singleLevel"/>
    <w:tmpl w:val="C1EC2DC4"/>
    <w:lvl w:ilvl="0">
      <w:start w:val="1"/>
      <w:numFmt w:val="bullet"/>
      <w:pStyle w:val="ListBullet4"/>
      <w:lvlText w:val=""/>
      <w:lvlJc w:val="left"/>
      <w:pPr>
        <w:tabs>
          <w:tab w:val="num" w:pos="1209"/>
        </w:tabs>
        <w:ind w:left="1209" w:hanging="360"/>
      </w:pPr>
      <w:rPr>
        <w:rFonts w:ascii="Symbol" w:hAnsi="Symbol" w:hint="default"/>
      </w:rPr>
    </w:lvl>
  </w:abstractNum>
  <w:abstractNum w:abstractNumId="2">
    <w:nsid w:val="FFFFFF82"/>
    <w:multiLevelType w:val="singleLevel"/>
    <w:tmpl w:val="B24812F6"/>
    <w:lvl w:ilvl="0">
      <w:start w:val="1"/>
      <w:numFmt w:val="bullet"/>
      <w:pStyle w:val="ListBullet3"/>
      <w:lvlText w:val=""/>
      <w:lvlJc w:val="left"/>
      <w:pPr>
        <w:tabs>
          <w:tab w:val="num" w:pos="926"/>
        </w:tabs>
        <w:ind w:left="926" w:hanging="360"/>
      </w:pPr>
      <w:rPr>
        <w:rFonts w:ascii="Symbol" w:hAnsi="Symbol" w:hint="default"/>
      </w:rPr>
    </w:lvl>
  </w:abstractNum>
  <w:abstractNum w:abstractNumId="3">
    <w:nsid w:val="FFFFFF83"/>
    <w:multiLevelType w:val="singleLevel"/>
    <w:tmpl w:val="29180C22"/>
    <w:lvl w:ilvl="0">
      <w:start w:val="1"/>
      <w:numFmt w:val="bullet"/>
      <w:pStyle w:val="ListBullet2"/>
      <w:lvlText w:val=""/>
      <w:lvlJc w:val="left"/>
      <w:pPr>
        <w:tabs>
          <w:tab w:val="num" w:pos="643"/>
        </w:tabs>
        <w:ind w:left="643" w:hanging="360"/>
      </w:pPr>
      <w:rPr>
        <w:rFonts w:ascii="Symbol" w:hAnsi="Symbol" w:hint="default"/>
      </w:rPr>
    </w:lvl>
  </w:abstractNum>
  <w:abstractNum w:abstractNumId="4">
    <w:nsid w:val="FFFFFF88"/>
    <w:multiLevelType w:val="singleLevel"/>
    <w:tmpl w:val="51D01192"/>
    <w:lvl w:ilvl="0">
      <w:start w:val="1"/>
      <w:numFmt w:val="decimal"/>
      <w:pStyle w:val="ListNumber"/>
      <w:lvlText w:val="%1."/>
      <w:lvlJc w:val="left"/>
      <w:pPr>
        <w:tabs>
          <w:tab w:val="num" w:pos="360"/>
        </w:tabs>
        <w:ind w:left="360" w:hanging="360"/>
      </w:pPr>
    </w:lvl>
  </w:abstractNum>
  <w:abstractNum w:abstractNumId="5">
    <w:nsid w:val="FFFFFF89"/>
    <w:multiLevelType w:val="singleLevel"/>
    <w:tmpl w:val="0FD23E14"/>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EF03D83"/>
    <w:multiLevelType w:val="multilevel"/>
    <w:tmpl w:val="B816999A"/>
    <w:styleLink w:val="StyleNumberedCalibri115ptLeft19cmHanging063cm"/>
    <w:lvl w:ilvl="0">
      <w:start w:val="1"/>
      <w:numFmt w:val="decimal"/>
      <w:lvlText w:val="%1."/>
      <w:lvlJc w:val="left"/>
      <w:pPr>
        <w:ind w:left="720" w:hanging="360"/>
      </w:pPr>
    </w:lvl>
    <w:lvl w:ilvl="1">
      <w:start w:val="1"/>
      <w:numFmt w:val="lowerLetter"/>
      <w:lvlText w:val="%2."/>
      <w:lvlJc w:val="left"/>
      <w:pPr>
        <w:ind w:left="1440" w:hanging="360"/>
      </w:pPr>
      <w:rPr>
        <w:rFonts w:ascii="Calibri" w:hAnsi="Calibri"/>
        <w:sz w:val="23"/>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E5F68F2"/>
    <w:multiLevelType w:val="hybridMultilevel"/>
    <w:tmpl w:val="2ED2AC00"/>
    <w:lvl w:ilvl="0" w:tplc="FBEEA10E">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1E13891"/>
    <w:multiLevelType w:val="hybridMultilevel"/>
    <w:tmpl w:val="8A1E4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5736104"/>
    <w:multiLevelType w:val="multilevel"/>
    <w:tmpl w:val="E410C9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FAF0D63"/>
    <w:multiLevelType w:val="hybridMultilevel"/>
    <w:tmpl w:val="5D501D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1"/>
  </w:num>
  <w:num w:numId="5">
    <w:abstractNumId w:val="4"/>
  </w:num>
  <w:num w:numId="6">
    <w:abstractNumId w:val="6"/>
  </w:num>
  <w:num w:numId="7">
    <w:abstractNumId w:val="8"/>
  </w:num>
  <w:num w:numId="8">
    <w:abstractNumId w:val="7"/>
  </w:num>
  <w:num w:numId="9">
    <w:abstractNumId w:val="10"/>
  </w:num>
  <w:num w:numId="10">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9"/>
  <w:displayVerticalDrawingGridEvery w:val="2"/>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2"/>
  </w:compat>
  <w:rsids>
    <w:rsidRoot w:val="00823C84"/>
    <w:rsid w:val="000570B1"/>
    <w:rsid w:val="000C4AB6"/>
    <w:rsid w:val="001026DF"/>
    <w:rsid w:val="00147A83"/>
    <w:rsid w:val="00162480"/>
    <w:rsid w:val="0016320F"/>
    <w:rsid w:val="001A05C0"/>
    <w:rsid w:val="001B187B"/>
    <w:rsid w:val="001B3622"/>
    <w:rsid w:val="001E7024"/>
    <w:rsid w:val="001E769C"/>
    <w:rsid w:val="001F5D8C"/>
    <w:rsid w:val="00202AF8"/>
    <w:rsid w:val="00245D24"/>
    <w:rsid w:val="0025133A"/>
    <w:rsid w:val="00254881"/>
    <w:rsid w:val="0026491A"/>
    <w:rsid w:val="00272A4A"/>
    <w:rsid w:val="00277BF5"/>
    <w:rsid w:val="002D043C"/>
    <w:rsid w:val="002D3049"/>
    <w:rsid w:val="002E5B42"/>
    <w:rsid w:val="002F7BFE"/>
    <w:rsid w:val="003152B4"/>
    <w:rsid w:val="003227F8"/>
    <w:rsid w:val="00326251"/>
    <w:rsid w:val="0035331A"/>
    <w:rsid w:val="0036257E"/>
    <w:rsid w:val="003A079B"/>
    <w:rsid w:val="003A44DB"/>
    <w:rsid w:val="003C552D"/>
    <w:rsid w:val="003D35DC"/>
    <w:rsid w:val="00425438"/>
    <w:rsid w:val="004411DF"/>
    <w:rsid w:val="00442F8B"/>
    <w:rsid w:val="00452610"/>
    <w:rsid w:val="004547EF"/>
    <w:rsid w:val="00457A5D"/>
    <w:rsid w:val="004623AC"/>
    <w:rsid w:val="00464BF6"/>
    <w:rsid w:val="00471668"/>
    <w:rsid w:val="0047187B"/>
    <w:rsid w:val="004A222E"/>
    <w:rsid w:val="004C1FA1"/>
    <w:rsid w:val="004C5D22"/>
    <w:rsid w:val="004D2D43"/>
    <w:rsid w:val="00522430"/>
    <w:rsid w:val="00546FF5"/>
    <w:rsid w:val="005A5600"/>
    <w:rsid w:val="005E47CD"/>
    <w:rsid w:val="005F1474"/>
    <w:rsid w:val="00614E59"/>
    <w:rsid w:val="006169EC"/>
    <w:rsid w:val="006216DE"/>
    <w:rsid w:val="00691096"/>
    <w:rsid w:val="006A039D"/>
    <w:rsid w:val="006A75AF"/>
    <w:rsid w:val="006B6041"/>
    <w:rsid w:val="006C0771"/>
    <w:rsid w:val="006C0BEC"/>
    <w:rsid w:val="00752774"/>
    <w:rsid w:val="00782F21"/>
    <w:rsid w:val="00786A35"/>
    <w:rsid w:val="007C0DBE"/>
    <w:rsid w:val="007F01B7"/>
    <w:rsid w:val="007F0552"/>
    <w:rsid w:val="007F60F0"/>
    <w:rsid w:val="00800D70"/>
    <w:rsid w:val="008051D9"/>
    <w:rsid w:val="00807D6E"/>
    <w:rsid w:val="008115E0"/>
    <w:rsid w:val="00814796"/>
    <w:rsid w:val="00823C84"/>
    <w:rsid w:val="008B00EF"/>
    <w:rsid w:val="008B0774"/>
    <w:rsid w:val="008B3F90"/>
    <w:rsid w:val="008F336D"/>
    <w:rsid w:val="00924F9C"/>
    <w:rsid w:val="00943368"/>
    <w:rsid w:val="00963F36"/>
    <w:rsid w:val="00975105"/>
    <w:rsid w:val="00995EC3"/>
    <w:rsid w:val="009D426E"/>
    <w:rsid w:val="009E2002"/>
    <w:rsid w:val="009F5D3A"/>
    <w:rsid w:val="00A078B0"/>
    <w:rsid w:val="00A32128"/>
    <w:rsid w:val="00A601F2"/>
    <w:rsid w:val="00A9063F"/>
    <w:rsid w:val="00A9485D"/>
    <w:rsid w:val="00B05D37"/>
    <w:rsid w:val="00B37913"/>
    <w:rsid w:val="00B84548"/>
    <w:rsid w:val="00BA7254"/>
    <w:rsid w:val="00BD10D3"/>
    <w:rsid w:val="00C124E9"/>
    <w:rsid w:val="00C17222"/>
    <w:rsid w:val="00C26D37"/>
    <w:rsid w:val="00C41579"/>
    <w:rsid w:val="00C50C4D"/>
    <w:rsid w:val="00C9672A"/>
    <w:rsid w:val="00CF23E6"/>
    <w:rsid w:val="00D14F9E"/>
    <w:rsid w:val="00D15662"/>
    <w:rsid w:val="00D30B12"/>
    <w:rsid w:val="00D93BC5"/>
    <w:rsid w:val="00DF545F"/>
    <w:rsid w:val="00E06687"/>
    <w:rsid w:val="00E134B1"/>
    <w:rsid w:val="00E33FE4"/>
    <w:rsid w:val="00E45BE7"/>
    <w:rsid w:val="00E634C9"/>
    <w:rsid w:val="00E94A21"/>
    <w:rsid w:val="00E9772C"/>
    <w:rsid w:val="00EA0C8D"/>
    <w:rsid w:val="00EB6CCF"/>
    <w:rsid w:val="00ED1579"/>
    <w:rsid w:val="00F03DBF"/>
    <w:rsid w:val="00F07263"/>
    <w:rsid w:val="00F21E1E"/>
    <w:rsid w:val="00F9033C"/>
    <w:rsid w:val="00FE2CBE"/>
    <w:rsid w:val="00FF2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Number" w:uiPriority="99"/>
    <w:lsdException w:name="List Number 3"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0771"/>
    <w:rPr>
      <w:rFonts w:ascii="Segoe UI" w:hAnsi="Segoe UI"/>
      <w:sz w:val="22"/>
      <w:szCs w:val="24"/>
    </w:rPr>
  </w:style>
  <w:style w:type="paragraph" w:styleId="Heading1">
    <w:name w:val="heading 1"/>
    <w:basedOn w:val="Normal"/>
    <w:next w:val="Normal"/>
    <w:link w:val="Heading1Char"/>
    <w:qFormat/>
    <w:rsid w:val="006C0771"/>
    <w:pPr>
      <w:keepNext/>
      <w:spacing w:before="100" w:beforeAutospacing="1" w:after="240"/>
      <w:jc w:val="center"/>
      <w:outlineLvl w:val="0"/>
    </w:pPr>
    <w:rPr>
      <w:rFonts w:cs="Arial"/>
      <w:b/>
      <w:bCs/>
      <w:kern w:val="32"/>
      <w:sz w:val="36"/>
      <w:szCs w:val="32"/>
    </w:rPr>
  </w:style>
  <w:style w:type="paragraph" w:styleId="Heading2">
    <w:name w:val="heading 2"/>
    <w:basedOn w:val="Normal"/>
    <w:next w:val="Normal"/>
    <w:qFormat/>
    <w:rsid w:val="006C0771"/>
    <w:pPr>
      <w:keepNext/>
      <w:spacing w:before="240" w:after="60"/>
      <w:jc w:val="center"/>
      <w:outlineLvl w:val="1"/>
    </w:pPr>
    <w:rPr>
      <w:rFonts w:cs="Arial"/>
      <w:b/>
      <w:bCs/>
      <w:iCs/>
      <w:sz w:val="28"/>
      <w:szCs w:val="28"/>
    </w:rPr>
  </w:style>
  <w:style w:type="paragraph" w:styleId="Heading3">
    <w:name w:val="heading 3"/>
    <w:basedOn w:val="Normal"/>
    <w:next w:val="Normal"/>
    <w:uiPriority w:val="9"/>
    <w:qFormat/>
    <w:rsid w:val="00A9485D"/>
    <w:pPr>
      <w:keepNext/>
      <w:spacing w:before="60" w:after="60"/>
      <w:outlineLvl w:val="2"/>
    </w:pPr>
    <w:rPr>
      <w:rFonts w:cs="Arial"/>
      <w:b/>
      <w:bCs/>
      <w:sz w:val="24"/>
      <w:szCs w:val="26"/>
    </w:rPr>
  </w:style>
  <w:style w:type="paragraph" w:styleId="Heading4">
    <w:name w:val="heading 4"/>
    <w:basedOn w:val="Normal"/>
    <w:next w:val="Normal"/>
    <w:link w:val="Heading4Char"/>
    <w:uiPriority w:val="9"/>
    <w:unhideWhenUsed/>
    <w:qFormat/>
    <w:rsid w:val="00786A35"/>
    <w:pPr>
      <w:keepNext/>
      <w:spacing w:after="6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3227F8"/>
    <w:pPr>
      <w:ind w:left="397" w:right="113" w:hanging="284"/>
      <w:jc w:val="center"/>
    </w:pPr>
    <w:rPr>
      <w:sz w:val="18"/>
      <w:szCs w:val="20"/>
    </w:rPr>
  </w:style>
  <w:style w:type="table" w:styleId="TableGrid">
    <w:name w:val="Table Grid"/>
    <w:basedOn w:val="TableNormal"/>
    <w:rsid w:val="006A75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rsid w:val="008F336D"/>
    <w:pPr>
      <w:numPr>
        <w:numId w:val="1"/>
      </w:numPr>
      <w:contextualSpacing/>
    </w:pPr>
  </w:style>
  <w:style w:type="character" w:customStyle="1" w:styleId="Heading4Char">
    <w:name w:val="Heading 4 Char"/>
    <w:link w:val="Heading4"/>
    <w:rsid w:val="00786A35"/>
    <w:rPr>
      <w:rFonts w:ascii="Segoe UI" w:hAnsi="Segoe UI"/>
      <w:b/>
      <w:bCs/>
      <w:sz w:val="22"/>
      <w:szCs w:val="28"/>
    </w:rPr>
  </w:style>
  <w:style w:type="paragraph" w:styleId="ListBullet2">
    <w:name w:val="List Bullet 2"/>
    <w:basedOn w:val="Normal"/>
    <w:rsid w:val="00A9485D"/>
    <w:pPr>
      <w:numPr>
        <w:numId w:val="2"/>
      </w:numPr>
      <w:tabs>
        <w:tab w:val="clear" w:pos="643"/>
        <w:tab w:val="num" w:pos="360"/>
      </w:tabs>
      <w:ind w:left="0" w:firstLine="0"/>
      <w:contextualSpacing/>
    </w:pPr>
  </w:style>
  <w:style w:type="paragraph" w:styleId="ListNumber3">
    <w:name w:val="List Number 3"/>
    <w:basedOn w:val="Normal"/>
    <w:uiPriority w:val="99"/>
    <w:unhideWhenUsed/>
    <w:rsid w:val="00272A4A"/>
    <w:pPr>
      <w:tabs>
        <w:tab w:val="num" w:pos="926"/>
      </w:tabs>
      <w:ind w:left="1248" w:hanging="284"/>
      <w:contextualSpacing/>
    </w:pPr>
    <w:rPr>
      <w:rFonts w:ascii="Calibri" w:hAnsi="Calibri"/>
    </w:rPr>
  </w:style>
  <w:style w:type="paragraph" w:styleId="ListNumber">
    <w:name w:val="List Number"/>
    <w:basedOn w:val="Normal"/>
    <w:uiPriority w:val="99"/>
    <w:rsid w:val="006216DE"/>
    <w:pPr>
      <w:numPr>
        <w:numId w:val="5"/>
      </w:numPr>
      <w:tabs>
        <w:tab w:val="clear" w:pos="360"/>
        <w:tab w:val="num" w:pos="510"/>
      </w:tabs>
      <w:ind w:left="510" w:hanging="397"/>
      <w:contextualSpacing/>
    </w:pPr>
  </w:style>
  <w:style w:type="character" w:customStyle="1" w:styleId="Heading1Char">
    <w:name w:val="Heading 1 Char"/>
    <w:link w:val="Heading1"/>
    <w:rsid w:val="006C0771"/>
    <w:rPr>
      <w:rFonts w:ascii="Segoe UI" w:hAnsi="Segoe UI" w:cs="Arial"/>
      <w:b/>
      <w:bCs/>
      <w:kern w:val="32"/>
      <w:sz w:val="36"/>
      <w:szCs w:val="32"/>
    </w:rPr>
  </w:style>
  <w:style w:type="numbering" w:customStyle="1" w:styleId="StyleNumberedCalibri115ptLeft19cmHanging063cm">
    <w:name w:val="Style Numbered Calibri 11.5 pt Left:  1.9 cm Hanging:  0.63 cm"/>
    <w:basedOn w:val="NoList"/>
    <w:rsid w:val="006216DE"/>
    <w:pPr>
      <w:numPr>
        <w:numId w:val="6"/>
      </w:numPr>
    </w:pPr>
  </w:style>
  <w:style w:type="paragraph" w:styleId="Header">
    <w:name w:val="header"/>
    <w:basedOn w:val="Normal"/>
    <w:link w:val="HeaderChar"/>
    <w:rsid w:val="008B0774"/>
    <w:pPr>
      <w:tabs>
        <w:tab w:val="center" w:pos="4513"/>
        <w:tab w:val="right" w:pos="9026"/>
      </w:tabs>
    </w:pPr>
  </w:style>
  <w:style w:type="character" w:customStyle="1" w:styleId="HeaderChar">
    <w:name w:val="Header Char"/>
    <w:link w:val="Header"/>
    <w:rsid w:val="008B0774"/>
    <w:rPr>
      <w:rFonts w:ascii="Segoe UI" w:hAnsi="Segoe UI"/>
      <w:sz w:val="22"/>
      <w:szCs w:val="24"/>
    </w:rPr>
  </w:style>
  <w:style w:type="paragraph" w:styleId="Footer">
    <w:name w:val="footer"/>
    <w:basedOn w:val="Normal"/>
    <w:link w:val="FooterChar"/>
    <w:uiPriority w:val="99"/>
    <w:rsid w:val="008B0774"/>
    <w:pPr>
      <w:tabs>
        <w:tab w:val="center" w:pos="4513"/>
        <w:tab w:val="right" w:pos="9026"/>
      </w:tabs>
    </w:pPr>
  </w:style>
  <w:style w:type="character" w:customStyle="1" w:styleId="FooterChar">
    <w:name w:val="Footer Char"/>
    <w:link w:val="Footer"/>
    <w:uiPriority w:val="99"/>
    <w:rsid w:val="008B0774"/>
    <w:rPr>
      <w:rFonts w:ascii="Segoe UI" w:hAnsi="Segoe UI"/>
      <w:sz w:val="22"/>
      <w:szCs w:val="24"/>
    </w:rPr>
  </w:style>
  <w:style w:type="paragraph" w:styleId="BalloonText">
    <w:name w:val="Balloon Text"/>
    <w:basedOn w:val="Normal"/>
    <w:link w:val="BalloonTextChar"/>
    <w:rsid w:val="008B0774"/>
    <w:rPr>
      <w:rFonts w:ascii="Tahoma" w:hAnsi="Tahoma" w:cs="Tahoma"/>
      <w:sz w:val="16"/>
      <w:szCs w:val="16"/>
    </w:rPr>
  </w:style>
  <w:style w:type="character" w:customStyle="1" w:styleId="BalloonTextChar">
    <w:name w:val="Balloon Text Char"/>
    <w:link w:val="BalloonText"/>
    <w:rsid w:val="008B0774"/>
    <w:rPr>
      <w:rFonts w:ascii="Tahoma" w:hAnsi="Tahoma" w:cs="Tahoma"/>
      <w:sz w:val="16"/>
      <w:szCs w:val="16"/>
    </w:rPr>
  </w:style>
  <w:style w:type="paragraph" w:styleId="ListBullet3">
    <w:name w:val="List Bullet 3"/>
    <w:basedOn w:val="Normal"/>
    <w:rsid w:val="002D3049"/>
    <w:pPr>
      <w:numPr>
        <w:numId w:val="3"/>
      </w:numPr>
      <w:contextualSpacing/>
    </w:pPr>
  </w:style>
  <w:style w:type="paragraph" w:styleId="ListBullet4">
    <w:name w:val="List Bullet 4"/>
    <w:basedOn w:val="Normal"/>
    <w:rsid w:val="002D3049"/>
    <w:pPr>
      <w:numPr>
        <w:numId w:val="4"/>
      </w:numPr>
      <w:contextualSpacing/>
    </w:pPr>
  </w:style>
  <w:style w:type="character" w:styleId="CommentReference">
    <w:name w:val="annotation reference"/>
    <w:rsid w:val="009D426E"/>
    <w:rPr>
      <w:sz w:val="16"/>
      <w:szCs w:val="16"/>
    </w:rPr>
  </w:style>
  <w:style w:type="paragraph" w:styleId="CommentText">
    <w:name w:val="annotation text"/>
    <w:basedOn w:val="Normal"/>
    <w:link w:val="CommentTextChar"/>
    <w:rsid w:val="009D426E"/>
    <w:rPr>
      <w:sz w:val="20"/>
      <w:szCs w:val="20"/>
    </w:rPr>
  </w:style>
  <w:style w:type="character" w:customStyle="1" w:styleId="CommentTextChar">
    <w:name w:val="Comment Text Char"/>
    <w:link w:val="CommentText"/>
    <w:rsid w:val="009D426E"/>
    <w:rPr>
      <w:rFonts w:ascii="Segoe UI" w:hAnsi="Segoe UI"/>
    </w:rPr>
  </w:style>
  <w:style w:type="paragraph" w:styleId="CommentSubject">
    <w:name w:val="annotation subject"/>
    <w:basedOn w:val="CommentText"/>
    <w:next w:val="CommentText"/>
    <w:link w:val="CommentSubjectChar"/>
    <w:rsid w:val="009D426E"/>
    <w:rPr>
      <w:b/>
      <w:bCs/>
    </w:rPr>
  </w:style>
  <w:style w:type="character" w:customStyle="1" w:styleId="CommentSubjectChar">
    <w:name w:val="Comment Subject Char"/>
    <w:link w:val="CommentSubject"/>
    <w:rsid w:val="009D426E"/>
    <w:rPr>
      <w:rFonts w:ascii="Segoe UI" w:hAnsi="Segoe UI"/>
      <w:b/>
      <w:bCs/>
    </w:rPr>
  </w:style>
  <w:style w:type="paragraph" w:styleId="ListParagraph">
    <w:name w:val="List Paragraph"/>
    <w:basedOn w:val="Normal"/>
    <w:uiPriority w:val="34"/>
    <w:qFormat/>
    <w:rsid w:val="00C41579"/>
    <w:pPr>
      <w:ind w:left="720"/>
      <w:contextualSpacing/>
    </w:pPr>
  </w:style>
  <w:style w:type="character" w:customStyle="1" w:styleId="superscript">
    <w:name w:val="superscript"/>
    <w:uiPriority w:val="1"/>
    <w:rsid w:val="006C0771"/>
    <w:rPr>
      <w:vertAlign w:val="superscript"/>
    </w:rPr>
  </w:style>
  <w:style w:type="character" w:styleId="Hyperlink">
    <w:name w:val="Hyperlink"/>
    <w:basedOn w:val="DefaultParagraphFont"/>
    <w:rsid w:val="003D35D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Number" w:uiPriority="99"/>
    <w:lsdException w:name="List Number 3"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0771"/>
    <w:rPr>
      <w:rFonts w:ascii="Segoe UI" w:hAnsi="Segoe UI"/>
      <w:sz w:val="22"/>
      <w:szCs w:val="24"/>
      <w14:ligatures w14:val="standardContextual"/>
    </w:rPr>
  </w:style>
  <w:style w:type="paragraph" w:styleId="Heading1">
    <w:name w:val="heading 1"/>
    <w:basedOn w:val="Normal"/>
    <w:next w:val="Normal"/>
    <w:link w:val="Heading1Char"/>
    <w:qFormat/>
    <w:rsid w:val="006C0771"/>
    <w:pPr>
      <w:keepNext/>
      <w:spacing w:before="100" w:beforeAutospacing="1" w:after="240"/>
      <w:jc w:val="center"/>
      <w:outlineLvl w:val="0"/>
    </w:pPr>
    <w:rPr>
      <w:rFonts w:cs="Arial"/>
      <w:b/>
      <w:bCs/>
      <w:kern w:val="32"/>
      <w:sz w:val="36"/>
      <w:szCs w:val="32"/>
    </w:rPr>
  </w:style>
  <w:style w:type="paragraph" w:styleId="Heading2">
    <w:name w:val="heading 2"/>
    <w:basedOn w:val="Normal"/>
    <w:next w:val="Normal"/>
    <w:qFormat/>
    <w:rsid w:val="006C0771"/>
    <w:pPr>
      <w:keepNext/>
      <w:spacing w:before="240" w:after="60"/>
      <w:jc w:val="center"/>
      <w:outlineLvl w:val="1"/>
    </w:pPr>
    <w:rPr>
      <w:rFonts w:cs="Arial"/>
      <w:b/>
      <w:bCs/>
      <w:iCs/>
      <w:sz w:val="28"/>
      <w:szCs w:val="28"/>
    </w:rPr>
  </w:style>
  <w:style w:type="paragraph" w:styleId="Heading3">
    <w:name w:val="heading 3"/>
    <w:basedOn w:val="Normal"/>
    <w:next w:val="Normal"/>
    <w:uiPriority w:val="9"/>
    <w:qFormat/>
    <w:rsid w:val="00A9485D"/>
    <w:pPr>
      <w:keepNext/>
      <w:spacing w:before="60" w:after="60"/>
      <w:outlineLvl w:val="2"/>
    </w:pPr>
    <w:rPr>
      <w:rFonts w:cs="Arial"/>
      <w:b/>
      <w:bCs/>
      <w:sz w:val="24"/>
      <w:szCs w:val="26"/>
    </w:rPr>
  </w:style>
  <w:style w:type="paragraph" w:styleId="Heading4">
    <w:name w:val="heading 4"/>
    <w:basedOn w:val="Normal"/>
    <w:next w:val="Normal"/>
    <w:link w:val="Heading4Char"/>
    <w:uiPriority w:val="9"/>
    <w:unhideWhenUsed/>
    <w:qFormat/>
    <w:rsid w:val="00786A35"/>
    <w:pPr>
      <w:keepNext/>
      <w:spacing w:after="6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3227F8"/>
    <w:pPr>
      <w:ind w:left="397" w:right="113" w:hanging="284"/>
      <w:jc w:val="center"/>
    </w:pPr>
    <w:rPr>
      <w:sz w:val="18"/>
      <w:szCs w:val="20"/>
    </w:rPr>
  </w:style>
  <w:style w:type="table" w:styleId="TableGrid">
    <w:name w:val="Table Grid"/>
    <w:basedOn w:val="TableNormal"/>
    <w:rsid w:val="006A75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rsid w:val="008F336D"/>
    <w:pPr>
      <w:numPr>
        <w:numId w:val="1"/>
      </w:numPr>
      <w:contextualSpacing/>
    </w:pPr>
  </w:style>
  <w:style w:type="character" w:customStyle="1" w:styleId="Heading4Char">
    <w:name w:val="Heading 4 Char"/>
    <w:link w:val="Heading4"/>
    <w:rsid w:val="00786A35"/>
    <w:rPr>
      <w:rFonts w:ascii="Segoe UI" w:hAnsi="Segoe UI"/>
      <w:b/>
      <w:bCs/>
      <w:sz w:val="22"/>
      <w:szCs w:val="28"/>
    </w:rPr>
  </w:style>
  <w:style w:type="paragraph" w:styleId="ListBullet2">
    <w:name w:val="List Bullet 2"/>
    <w:basedOn w:val="Normal"/>
    <w:rsid w:val="00A9485D"/>
    <w:pPr>
      <w:numPr>
        <w:numId w:val="2"/>
      </w:numPr>
      <w:tabs>
        <w:tab w:val="clear" w:pos="643"/>
        <w:tab w:val="num" w:pos="360"/>
      </w:tabs>
      <w:ind w:left="0" w:firstLine="0"/>
      <w:contextualSpacing/>
    </w:pPr>
  </w:style>
  <w:style w:type="paragraph" w:styleId="ListNumber3">
    <w:name w:val="List Number 3"/>
    <w:basedOn w:val="Normal"/>
    <w:uiPriority w:val="99"/>
    <w:unhideWhenUsed/>
    <w:rsid w:val="00272A4A"/>
    <w:pPr>
      <w:tabs>
        <w:tab w:val="num" w:pos="926"/>
      </w:tabs>
      <w:ind w:left="1248" w:hanging="284"/>
      <w:contextualSpacing/>
    </w:pPr>
    <w:rPr>
      <w:rFonts w:ascii="Calibri" w:hAnsi="Calibri"/>
    </w:rPr>
  </w:style>
  <w:style w:type="paragraph" w:styleId="ListNumber">
    <w:name w:val="List Number"/>
    <w:basedOn w:val="Normal"/>
    <w:uiPriority w:val="99"/>
    <w:rsid w:val="006216DE"/>
    <w:pPr>
      <w:numPr>
        <w:numId w:val="5"/>
      </w:numPr>
      <w:tabs>
        <w:tab w:val="clear" w:pos="360"/>
        <w:tab w:val="num" w:pos="510"/>
      </w:tabs>
      <w:ind w:left="510" w:hanging="397"/>
      <w:contextualSpacing/>
    </w:pPr>
  </w:style>
  <w:style w:type="character" w:customStyle="1" w:styleId="Heading1Char">
    <w:name w:val="Heading 1 Char"/>
    <w:link w:val="Heading1"/>
    <w:rsid w:val="006C0771"/>
    <w:rPr>
      <w:rFonts w:ascii="Segoe UI" w:hAnsi="Segoe UI" w:cs="Arial"/>
      <w:b/>
      <w:bCs/>
      <w:kern w:val="32"/>
      <w:sz w:val="36"/>
      <w:szCs w:val="32"/>
      <w14:ligatures w14:val="standardContextual"/>
    </w:rPr>
  </w:style>
  <w:style w:type="numbering" w:customStyle="1" w:styleId="StyleNumberedCalibri115ptLeft19cmHanging063cm">
    <w:name w:val="Style Numbered Calibri 11.5 pt Left:  1.9 cm Hanging:  0.63 cm"/>
    <w:basedOn w:val="NoList"/>
    <w:rsid w:val="006216DE"/>
    <w:pPr>
      <w:numPr>
        <w:numId w:val="6"/>
      </w:numPr>
    </w:pPr>
  </w:style>
  <w:style w:type="paragraph" w:styleId="Header">
    <w:name w:val="header"/>
    <w:basedOn w:val="Normal"/>
    <w:link w:val="HeaderChar"/>
    <w:rsid w:val="008B0774"/>
    <w:pPr>
      <w:tabs>
        <w:tab w:val="center" w:pos="4513"/>
        <w:tab w:val="right" w:pos="9026"/>
      </w:tabs>
    </w:pPr>
  </w:style>
  <w:style w:type="character" w:customStyle="1" w:styleId="HeaderChar">
    <w:name w:val="Header Char"/>
    <w:link w:val="Header"/>
    <w:rsid w:val="008B0774"/>
    <w:rPr>
      <w:rFonts w:ascii="Segoe UI" w:hAnsi="Segoe UI"/>
      <w:sz w:val="22"/>
      <w:szCs w:val="24"/>
    </w:rPr>
  </w:style>
  <w:style w:type="paragraph" w:styleId="Footer">
    <w:name w:val="footer"/>
    <w:basedOn w:val="Normal"/>
    <w:link w:val="FooterChar"/>
    <w:uiPriority w:val="99"/>
    <w:rsid w:val="008B0774"/>
    <w:pPr>
      <w:tabs>
        <w:tab w:val="center" w:pos="4513"/>
        <w:tab w:val="right" w:pos="9026"/>
      </w:tabs>
    </w:pPr>
  </w:style>
  <w:style w:type="character" w:customStyle="1" w:styleId="FooterChar">
    <w:name w:val="Footer Char"/>
    <w:link w:val="Footer"/>
    <w:uiPriority w:val="99"/>
    <w:rsid w:val="008B0774"/>
    <w:rPr>
      <w:rFonts w:ascii="Segoe UI" w:hAnsi="Segoe UI"/>
      <w:sz w:val="22"/>
      <w:szCs w:val="24"/>
    </w:rPr>
  </w:style>
  <w:style w:type="paragraph" w:styleId="BalloonText">
    <w:name w:val="Balloon Text"/>
    <w:basedOn w:val="Normal"/>
    <w:link w:val="BalloonTextChar"/>
    <w:rsid w:val="008B0774"/>
    <w:rPr>
      <w:rFonts w:ascii="Tahoma" w:hAnsi="Tahoma" w:cs="Tahoma"/>
      <w:sz w:val="16"/>
      <w:szCs w:val="16"/>
    </w:rPr>
  </w:style>
  <w:style w:type="character" w:customStyle="1" w:styleId="BalloonTextChar">
    <w:name w:val="Balloon Text Char"/>
    <w:link w:val="BalloonText"/>
    <w:rsid w:val="008B0774"/>
    <w:rPr>
      <w:rFonts w:ascii="Tahoma" w:hAnsi="Tahoma" w:cs="Tahoma"/>
      <w:sz w:val="16"/>
      <w:szCs w:val="16"/>
    </w:rPr>
  </w:style>
  <w:style w:type="paragraph" w:styleId="ListBullet3">
    <w:name w:val="List Bullet 3"/>
    <w:basedOn w:val="Normal"/>
    <w:rsid w:val="002D3049"/>
    <w:pPr>
      <w:numPr>
        <w:numId w:val="3"/>
      </w:numPr>
      <w:contextualSpacing/>
    </w:pPr>
  </w:style>
  <w:style w:type="paragraph" w:styleId="ListBullet4">
    <w:name w:val="List Bullet 4"/>
    <w:basedOn w:val="Normal"/>
    <w:rsid w:val="002D3049"/>
    <w:pPr>
      <w:numPr>
        <w:numId w:val="4"/>
      </w:numPr>
      <w:contextualSpacing/>
    </w:pPr>
  </w:style>
  <w:style w:type="character" w:styleId="CommentReference">
    <w:name w:val="annotation reference"/>
    <w:rsid w:val="009D426E"/>
    <w:rPr>
      <w:sz w:val="16"/>
      <w:szCs w:val="16"/>
    </w:rPr>
  </w:style>
  <w:style w:type="paragraph" w:styleId="CommentText">
    <w:name w:val="annotation text"/>
    <w:basedOn w:val="Normal"/>
    <w:link w:val="CommentTextChar"/>
    <w:rsid w:val="009D426E"/>
    <w:rPr>
      <w:sz w:val="20"/>
      <w:szCs w:val="20"/>
    </w:rPr>
  </w:style>
  <w:style w:type="character" w:customStyle="1" w:styleId="CommentTextChar">
    <w:name w:val="Comment Text Char"/>
    <w:link w:val="CommentText"/>
    <w:rsid w:val="009D426E"/>
    <w:rPr>
      <w:rFonts w:ascii="Segoe UI" w:hAnsi="Segoe UI"/>
    </w:rPr>
  </w:style>
  <w:style w:type="paragraph" w:styleId="CommentSubject">
    <w:name w:val="annotation subject"/>
    <w:basedOn w:val="CommentText"/>
    <w:next w:val="CommentText"/>
    <w:link w:val="CommentSubjectChar"/>
    <w:rsid w:val="009D426E"/>
    <w:rPr>
      <w:b/>
      <w:bCs/>
    </w:rPr>
  </w:style>
  <w:style w:type="character" w:customStyle="1" w:styleId="CommentSubjectChar">
    <w:name w:val="Comment Subject Char"/>
    <w:link w:val="CommentSubject"/>
    <w:rsid w:val="009D426E"/>
    <w:rPr>
      <w:rFonts w:ascii="Segoe UI" w:hAnsi="Segoe UI"/>
      <w:b/>
      <w:bCs/>
    </w:rPr>
  </w:style>
  <w:style w:type="paragraph" w:styleId="ListParagraph">
    <w:name w:val="List Paragraph"/>
    <w:basedOn w:val="Normal"/>
    <w:uiPriority w:val="34"/>
    <w:qFormat/>
    <w:rsid w:val="00C41579"/>
    <w:pPr>
      <w:ind w:left="720"/>
      <w:contextualSpacing/>
    </w:pPr>
  </w:style>
  <w:style w:type="character" w:customStyle="1" w:styleId="superscript">
    <w:name w:val="superscript"/>
    <w:uiPriority w:val="1"/>
    <w:rsid w:val="006C0771"/>
    <w:rPr>
      <w:vertAlign w:val="superscript"/>
    </w:rPr>
  </w:style>
  <w:style w:type="character" w:styleId="Hyperlink">
    <w:name w:val="Hyperlink"/>
    <w:basedOn w:val="DefaultParagraphFont"/>
    <w:rsid w:val="003D35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14696">
      <w:bodyDiv w:val="1"/>
      <w:marLeft w:val="0"/>
      <w:marRight w:val="0"/>
      <w:marTop w:val="0"/>
      <w:marBottom w:val="0"/>
      <w:divBdr>
        <w:top w:val="none" w:sz="0" w:space="0" w:color="auto"/>
        <w:left w:val="none" w:sz="0" w:space="0" w:color="auto"/>
        <w:bottom w:val="none" w:sz="0" w:space="0" w:color="auto"/>
        <w:right w:val="none" w:sz="0" w:space="0" w:color="auto"/>
      </w:divBdr>
    </w:div>
    <w:div w:id="1282223538">
      <w:bodyDiv w:val="1"/>
      <w:marLeft w:val="0"/>
      <w:marRight w:val="0"/>
      <w:marTop w:val="0"/>
      <w:marBottom w:val="0"/>
      <w:divBdr>
        <w:top w:val="none" w:sz="0" w:space="0" w:color="auto"/>
        <w:left w:val="none" w:sz="0" w:space="0" w:color="auto"/>
        <w:bottom w:val="none" w:sz="0" w:space="0" w:color="auto"/>
        <w:right w:val="none" w:sz="0" w:space="0" w:color="auto"/>
      </w:divBdr>
    </w:div>
    <w:div w:id="1548687431">
      <w:bodyDiv w:val="1"/>
      <w:marLeft w:val="0"/>
      <w:marRight w:val="0"/>
      <w:marTop w:val="0"/>
      <w:marBottom w:val="0"/>
      <w:divBdr>
        <w:top w:val="none" w:sz="0" w:space="0" w:color="auto"/>
        <w:left w:val="none" w:sz="0" w:space="0" w:color="auto"/>
        <w:bottom w:val="none" w:sz="0" w:space="0" w:color="auto"/>
        <w:right w:val="none" w:sz="0" w:space="0" w:color="auto"/>
      </w:divBdr>
    </w:div>
    <w:div w:id="1650553897">
      <w:bodyDiv w:val="1"/>
      <w:marLeft w:val="0"/>
      <w:marRight w:val="0"/>
      <w:marTop w:val="0"/>
      <w:marBottom w:val="0"/>
      <w:divBdr>
        <w:top w:val="none" w:sz="0" w:space="0" w:color="auto"/>
        <w:left w:val="none" w:sz="0" w:space="0" w:color="auto"/>
        <w:bottom w:val="none" w:sz="0" w:space="0" w:color="auto"/>
        <w:right w:val="none" w:sz="0" w:space="0" w:color="auto"/>
      </w:divBdr>
    </w:div>
    <w:div w:id="212457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D8D8E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5F787-2399-4214-ACC3-82B794A71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2411</Words>
  <Characters>13747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Energy Saving Trust</Company>
  <LinksUpToDate>false</LinksUpToDate>
  <CharactersWithSpaces>16126</CharactersWithSpaces>
  <SharedDoc>false</SharedDoc>
  <HLinks>
    <vt:vector size="24" baseType="variant">
      <vt:variant>
        <vt:i4>2752564</vt:i4>
      </vt:variant>
      <vt:variant>
        <vt:i4>9</vt:i4>
      </vt:variant>
      <vt:variant>
        <vt:i4>0</vt:i4>
      </vt:variant>
      <vt:variant>
        <vt:i4>5</vt:i4>
      </vt:variant>
      <vt:variant>
        <vt:lpwstr>http://drafts.bsigroup.com/Home/Details/861</vt:lpwstr>
      </vt:variant>
      <vt:variant>
        <vt:lpwstr/>
      </vt:variant>
      <vt:variant>
        <vt:i4>3801194</vt:i4>
      </vt:variant>
      <vt:variant>
        <vt:i4>6</vt:i4>
      </vt:variant>
      <vt:variant>
        <vt:i4>0</vt:i4>
      </vt:variant>
      <vt:variant>
        <vt:i4>5</vt:i4>
      </vt:variant>
      <vt:variant>
        <vt:lpwstr>http://www.microgenerationcertification.org/admin/documents/MIS 3005 Supplementary Information 2 - Heat Emitter Guide v2.0.pdf</vt:lpwstr>
      </vt:variant>
      <vt:variant>
        <vt:lpwstr/>
      </vt:variant>
      <vt:variant>
        <vt:i4>3276908</vt:i4>
      </vt:variant>
      <vt:variant>
        <vt:i4>3</vt:i4>
      </vt:variant>
      <vt:variant>
        <vt:i4>0</vt:i4>
      </vt:variant>
      <vt:variant>
        <vt:i4>5</vt:i4>
      </vt:variant>
      <vt:variant>
        <vt:lpwstr>http://www.microgenerationcertification.org/admin/documents/MIS 3005 Issue 3 0 Heat Pump Systems 2011.09.05.pdf</vt:lpwstr>
      </vt:variant>
      <vt:variant>
        <vt:lpwstr/>
      </vt:variant>
      <vt:variant>
        <vt:i4>5373978</vt:i4>
      </vt:variant>
      <vt:variant>
        <vt:i4>0</vt:i4>
      </vt:variant>
      <vt:variant>
        <vt:i4>0</vt:i4>
      </vt:variant>
      <vt:variant>
        <vt:i4>5</vt:i4>
      </vt:variant>
      <vt:variant>
        <vt:lpwstr>http://www.energysavingtrust.org.uk/content/download/1993114/6783309/file/buyers_guide_renewables.pdf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Hessler</dc:creator>
  <cp:keywords/>
  <dc:description/>
  <cp:lastModifiedBy>Mathias Hessler</cp:lastModifiedBy>
  <cp:revision>2</cp:revision>
  <cp:lastPrinted>2011-11-16T13:29:00Z</cp:lastPrinted>
  <dcterms:created xsi:type="dcterms:W3CDTF">2012-05-30T19:11:00Z</dcterms:created>
  <dcterms:modified xsi:type="dcterms:W3CDTF">2012-05-30T19:11:00Z</dcterms:modified>
</cp:coreProperties>
</file>